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Référence : BML 03</w:t>
      </w:r>
    </w:p>
    <w:p w:rsidR="00000000" w:rsidDel="00000000" w:rsidP="00000000" w:rsidRDefault="00000000" w:rsidRPr="00000000" w14:paraId="00000002">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7" w:sz="0" w:val="none"/>
          <w:between w:color="000000" w:space="0" w:sz="0" w:val="none"/>
        </w:pBdr>
        <w:spacing w:after="220" w:line="315"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le cadre de notre politique visant à sensibiliser au développement durable, une équipe dynamique et compétente en RH est indispensable à l’accompagnement des différents  intervenants sur les multiples projets développés. Afin de compléter notre équipe actuelle, nous recherchons un/une stagiaire :</w:t>
      </w:r>
    </w:p>
    <w:p w:rsidR="00000000" w:rsidDel="00000000" w:rsidP="00000000" w:rsidRDefault="00000000" w:rsidRPr="00000000" w14:paraId="00000004">
      <w:pPr>
        <w:pBdr>
          <w:top w:color="000000" w:space="0" w:sz="0" w:val="none"/>
          <w:left w:color="000000" w:space="0" w:sz="0" w:val="none"/>
          <w:bottom w:color="000000" w:space="0" w:sz="0" w:val="none"/>
          <w:right w:color="000000" w:space="7" w:sz="0" w:val="none"/>
          <w:between w:color="000000" w:space="0" w:sz="0" w:val="none"/>
        </w:pBdr>
        <w:spacing w:after="220" w:line="315"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7" w:sz="0" w:val="none"/>
          <w:between w:color="000000" w:space="0" w:sz="0" w:val="none"/>
        </w:pBdr>
        <w:spacing w:after="220" w:lineRule="auto"/>
        <w:jc w:val="center"/>
        <w:rPr>
          <w:rFonts w:ascii="Calibri" w:cs="Calibri" w:eastAsia="Calibri" w:hAnsi="Calibri"/>
          <w:b w:val="1"/>
        </w:rPr>
      </w:pPr>
      <w:r w:rsidDel="00000000" w:rsidR="00000000" w:rsidRPr="00000000">
        <w:rPr>
          <w:rFonts w:ascii="Calibri" w:cs="Calibri" w:eastAsia="Calibri" w:hAnsi="Calibri"/>
          <w:b w:val="1"/>
          <w:color w:val="98984b"/>
          <w:sz w:val="36"/>
          <w:szCs w:val="36"/>
          <w:rtl w:val="0"/>
        </w:rPr>
        <w:t xml:space="preserve">Stagiaire en Ressources Humaines /  Recrutement (H/F) </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Après un accompagnement lors de votre intégration vous serez amené(e) à :</w:t>
      </w:r>
    </w:p>
    <w:p w:rsidR="00000000" w:rsidDel="00000000" w:rsidP="00000000" w:rsidRDefault="00000000" w:rsidRPr="00000000" w14:paraId="00000008">
      <w:pPr>
        <w:spacing w:before="200" w:line="312" w:lineRule="auto"/>
        <w:ind w:left="72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Gestion de projets/Recrutement/Sourcing</w:t>
      </w:r>
    </w:p>
    <w:p w:rsidR="00000000" w:rsidDel="00000000" w:rsidP="00000000" w:rsidRDefault="00000000" w:rsidRPr="00000000" w14:paraId="00000009">
      <w:pPr>
        <w:numPr>
          <w:ilvl w:val="0"/>
          <w:numId w:val="3"/>
        </w:numPr>
        <w:spacing w:after="0" w:before="20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Identifier les besoins en personnel, établir des profils et rédiger des annonces pour recruter des candidats en IT, Marketing ou profils scientifiques ;</w:t>
      </w:r>
    </w:p>
    <w:p w:rsidR="00000000" w:rsidDel="00000000" w:rsidP="00000000" w:rsidRDefault="00000000" w:rsidRPr="00000000" w14:paraId="0000000A">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Rechercher des filières au sein des écoles et universités, diffuser des annonces; auprès de cibles préalablement sélectionnées;</w:t>
      </w:r>
    </w:p>
    <w:p w:rsidR="00000000" w:rsidDel="00000000" w:rsidP="00000000" w:rsidRDefault="00000000" w:rsidRPr="00000000" w14:paraId="0000000B">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Traiter les dossiers de candidature et planifier les entretiens;</w:t>
      </w:r>
    </w:p>
    <w:p w:rsidR="00000000" w:rsidDel="00000000" w:rsidP="00000000" w:rsidRDefault="00000000" w:rsidRPr="00000000" w14:paraId="0000000C">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Conduire des entretiens de recrutement et sélectionner les candidats;</w:t>
      </w:r>
    </w:p>
    <w:p w:rsidR="00000000" w:rsidDel="00000000" w:rsidP="00000000" w:rsidRDefault="00000000" w:rsidRPr="00000000" w14:paraId="0000000D">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Sélectionner et développer des manières d’attirer des profils;</w:t>
      </w:r>
    </w:p>
    <w:p w:rsidR="00000000" w:rsidDel="00000000" w:rsidP="00000000" w:rsidRDefault="00000000" w:rsidRPr="00000000" w14:paraId="0000000E">
      <w:pPr>
        <w:numPr>
          <w:ilvl w:val="0"/>
          <w:numId w:val="3"/>
        </w:numPr>
        <w:spacing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Collaborer avec les coordinateurs de projets pour définir les besoins.</w:t>
      </w:r>
    </w:p>
    <w:p w:rsidR="00000000" w:rsidDel="00000000" w:rsidP="00000000" w:rsidRDefault="00000000" w:rsidRPr="00000000" w14:paraId="0000000F">
      <w:pPr>
        <w:spacing w:before="200" w:line="312" w:lineRule="auto"/>
        <w:ind w:left="72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Gestion administrative</w:t>
      </w:r>
    </w:p>
    <w:p w:rsidR="00000000" w:rsidDel="00000000" w:rsidP="00000000" w:rsidRDefault="00000000" w:rsidRPr="00000000" w14:paraId="00000010">
      <w:pPr>
        <w:numPr>
          <w:ilvl w:val="0"/>
          <w:numId w:val="3"/>
        </w:numPr>
        <w:spacing w:after="0" w:before="20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Gestion des engagements ;</w:t>
      </w:r>
    </w:p>
    <w:p w:rsidR="00000000" w:rsidDel="00000000" w:rsidP="00000000" w:rsidRDefault="00000000" w:rsidRPr="00000000" w14:paraId="00000011">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Rédaction des contrats et des conventions de stage ;</w:t>
      </w:r>
    </w:p>
    <w:p w:rsidR="00000000" w:rsidDel="00000000" w:rsidP="00000000" w:rsidRDefault="00000000" w:rsidRPr="00000000" w14:paraId="00000012">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Création des premiers outils liés au télétravail ;</w:t>
      </w:r>
    </w:p>
    <w:p w:rsidR="00000000" w:rsidDel="00000000" w:rsidP="00000000" w:rsidRDefault="00000000" w:rsidRPr="00000000" w14:paraId="00000013">
      <w:pPr>
        <w:numPr>
          <w:ilvl w:val="0"/>
          <w:numId w:val="3"/>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Formation des nouveaux collaborateurs à l’utilisation des outils spécifiques à la gestion de projet et au télétravail ;</w:t>
      </w:r>
    </w:p>
    <w:p w:rsidR="00000000" w:rsidDel="00000000" w:rsidP="00000000" w:rsidRDefault="00000000" w:rsidRPr="00000000" w14:paraId="00000014">
      <w:pPr>
        <w:numPr>
          <w:ilvl w:val="0"/>
          <w:numId w:val="3"/>
        </w:numPr>
        <w:spacing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Prendre des notes sur les PV lors des séances.</w:t>
      </w:r>
    </w:p>
    <w:p w:rsidR="00000000" w:rsidDel="00000000" w:rsidP="00000000" w:rsidRDefault="00000000" w:rsidRPr="00000000" w14:paraId="00000015">
      <w:pPr>
        <w:spacing w:before="200" w:line="312" w:lineRule="auto"/>
        <w:ind w:left="72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Formation/coaching</w:t>
      </w:r>
    </w:p>
    <w:p w:rsidR="00000000" w:rsidDel="00000000" w:rsidP="00000000" w:rsidRDefault="00000000" w:rsidRPr="00000000" w14:paraId="00000016">
      <w:pPr>
        <w:numPr>
          <w:ilvl w:val="0"/>
          <w:numId w:val="4"/>
        </w:numPr>
        <w:spacing w:after="0" w:before="20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Accueillir, intégrer, encadrer et coacher les collaborateurs </w:t>
      </w:r>
      <w:r w:rsidDel="00000000" w:rsidR="00000000" w:rsidRPr="00000000">
        <w:rPr>
          <w:rFonts w:ascii="Calibri" w:cs="Calibri" w:eastAsia="Calibri" w:hAnsi="Calibri"/>
          <w:rtl w:val="0"/>
        </w:rPr>
        <w:t xml:space="preserve">(formation initiale et continue, SIRH, gestion administrative et sociale)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7">
      <w:pPr>
        <w:numPr>
          <w:ilvl w:val="0"/>
          <w:numId w:val="4"/>
        </w:numPr>
        <w:spacing w:before="0" w:line="312" w:lineRule="auto"/>
        <w:ind w:left="720" w:hanging="36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Conseiller et assister les responsables dans leurs problématiques RH;</w:t>
      </w:r>
      <w:r w:rsidDel="00000000" w:rsidR="00000000" w:rsidRPr="00000000">
        <w:rPr>
          <w:rtl w:val="0"/>
        </w:rPr>
      </w:r>
    </w:p>
    <w:p w:rsidR="00000000" w:rsidDel="00000000" w:rsidP="00000000" w:rsidRDefault="00000000" w:rsidRPr="00000000" w14:paraId="00000018">
      <w:pPr>
        <w:numPr>
          <w:ilvl w:val="0"/>
          <w:numId w:val="4"/>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Veiller au respect des valeurs de gaea21;</w:t>
      </w:r>
    </w:p>
    <w:p w:rsidR="00000000" w:rsidDel="00000000" w:rsidP="00000000" w:rsidRDefault="00000000" w:rsidRPr="00000000" w14:paraId="00000019">
      <w:pPr>
        <w:numPr>
          <w:ilvl w:val="0"/>
          <w:numId w:val="4"/>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Animer les séances d’accueil de nouveau collaborateur via Skype;</w:t>
      </w:r>
    </w:p>
    <w:p w:rsidR="00000000" w:rsidDel="00000000" w:rsidP="00000000" w:rsidRDefault="00000000" w:rsidRPr="00000000" w14:paraId="0000001A">
      <w:pPr>
        <w:numPr>
          <w:ilvl w:val="0"/>
          <w:numId w:val="4"/>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Former les nouveaux arrivants aux outils de travail;</w:t>
      </w:r>
    </w:p>
    <w:p w:rsidR="00000000" w:rsidDel="00000000" w:rsidP="00000000" w:rsidRDefault="00000000" w:rsidRPr="00000000" w14:paraId="0000001B">
      <w:pPr>
        <w:numPr>
          <w:ilvl w:val="0"/>
          <w:numId w:val="4"/>
        </w:numPr>
        <w:spacing w:after="0"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Former les coordinateurs de projet aux processus et outils de gestion collaborative;</w:t>
      </w:r>
    </w:p>
    <w:p w:rsidR="00000000" w:rsidDel="00000000" w:rsidP="00000000" w:rsidRDefault="00000000" w:rsidRPr="00000000" w14:paraId="0000001C">
      <w:pPr>
        <w:numPr>
          <w:ilvl w:val="0"/>
          <w:numId w:val="4"/>
        </w:numPr>
        <w:spacing w:before="0" w:line="312"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Accompagner un portefeuille de coachés à la réalisation de leurs objectifs de stage et de l’acquisition de nouvelles compétences métiers.</w:t>
      </w:r>
    </w:p>
    <w:p w:rsidR="00000000" w:rsidDel="00000000" w:rsidP="00000000" w:rsidRDefault="00000000" w:rsidRPr="00000000" w14:paraId="0000001D">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Nous nous engageons à vous offrir : </w:t>
      </w:r>
    </w:p>
    <w:p w:rsidR="00000000" w:rsidDel="00000000" w:rsidP="00000000" w:rsidRDefault="00000000" w:rsidRPr="00000000" w14:paraId="0000001F">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possibilité de développer et d’acquérir des compétences grâce à une expérience concrète dans votre domaine d’étude;</w:t>
      </w:r>
    </w:p>
    <w:p w:rsidR="00000000" w:rsidDel="00000000" w:rsidP="00000000" w:rsidRDefault="00000000" w:rsidRPr="00000000" w14:paraId="00000020">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formation à des méthodes et outils de travail professionnalisants pour vous permettre d’augmenter votre efficacité et vos compétences;</w:t>
      </w:r>
    </w:p>
    <w:p w:rsidR="00000000" w:rsidDel="00000000" w:rsidP="00000000" w:rsidRDefault="00000000" w:rsidRPr="00000000" w14:paraId="00000021">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poste à responsabilités avec une large autonomie;</w:t>
      </w:r>
    </w:p>
    <w:p w:rsidR="00000000" w:rsidDel="00000000" w:rsidP="00000000" w:rsidRDefault="00000000" w:rsidRPr="00000000" w14:paraId="00000022">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travail dans une équipe dynamique et pluridisciplinaire dans vos domaines d’intérêt;</w:t>
      </w:r>
    </w:p>
    <w:p w:rsidR="00000000" w:rsidDel="00000000" w:rsidP="00000000" w:rsidRDefault="00000000" w:rsidRPr="00000000" w14:paraId="00000023">
      <w:pPr>
        <w:numPr>
          <w:ilvl w:val="0"/>
          <w:numId w:val="2"/>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expertise dans le domaine du développement durable.</w:t>
      </w:r>
    </w:p>
    <w:p w:rsidR="00000000" w:rsidDel="00000000" w:rsidP="00000000" w:rsidRDefault="00000000" w:rsidRPr="00000000" w14:paraId="00000024">
      <w:pPr>
        <w:numPr>
          <w:ilvl w:val="0"/>
          <w:numId w:val="2"/>
        </w:numPr>
        <w:pBdr>
          <w:top w:color="000000" w:space="0" w:sz="0" w:val="none"/>
          <w:bottom w:color="000000" w:space="0" w:sz="0" w:val="none"/>
          <w:right w:color="000000" w:space="7" w:sz="0" w:val="none"/>
          <w:between w:color="000000" w:space="0" w:sz="0" w:val="none"/>
        </w:pBdr>
        <w:spacing w:after="16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possibilité de développer des compétences dans le management à distance</w:t>
      </w:r>
    </w:p>
    <w:p w:rsidR="00000000" w:rsidDel="00000000" w:rsidP="00000000" w:rsidRDefault="00000000" w:rsidRPr="00000000" w14:paraId="00000025">
      <w:pPr>
        <w:pBdr>
          <w:top w:color="000000" w:space="0" w:sz="0" w:val="none"/>
          <w:bottom w:color="000000" w:space="0" w:sz="0" w:val="none"/>
          <w:right w:color="000000" w:space="7" w:sz="0" w:val="none"/>
          <w:between w:color="000000" w:space="0" w:sz="0" w:val="none"/>
        </w:pBdr>
        <w:spacing w:after="160" w:line="315"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7" w:sz="0" w:val="none"/>
          <w:between w:color="000000" w:space="0" w:sz="0" w:val="none"/>
        </w:pBdr>
        <w:spacing w:after="220" w:line="315"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Votre profil pour avancer ensemble :</w:t>
      </w:r>
    </w:p>
    <w:p w:rsidR="00000000" w:rsidDel="00000000" w:rsidP="00000000" w:rsidRDefault="00000000" w:rsidRPr="00000000" w14:paraId="00000027">
      <w:pPr>
        <w:numPr>
          <w:ilvl w:val="0"/>
          <w:numId w:val="1"/>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Formation (achevée ou en cours) en Ressources Humaines, Sciences Sociales,  Psychologie de travail ou jugée équivalente;</w:t>
      </w:r>
    </w:p>
    <w:p w:rsidR="00000000" w:rsidDel="00000000" w:rsidP="00000000" w:rsidRDefault="00000000" w:rsidRPr="00000000" w14:paraId="00000028">
      <w:pPr>
        <w:numPr>
          <w:ilvl w:val="0"/>
          <w:numId w:val="1"/>
        </w:numPr>
        <w:pBdr>
          <w:top w:color="000000" w:space="0" w:sz="0" w:val="none"/>
          <w:bottom w:color="000000" w:space="0" w:sz="0" w:val="none"/>
          <w:right w:color="000000" w:space="7" w:sz="0" w:val="none"/>
          <w:between w:color="000000" w:space="0" w:sz="0" w:val="none"/>
        </w:pBdr>
        <w:spacing w:after="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Vous êtes à l’aise dans la communication et avez le sens des initiatives;</w:t>
      </w:r>
    </w:p>
    <w:p w:rsidR="00000000" w:rsidDel="00000000" w:rsidP="00000000" w:rsidRDefault="00000000" w:rsidRPr="00000000" w14:paraId="00000029">
      <w:pPr>
        <w:numPr>
          <w:ilvl w:val="0"/>
          <w:numId w:val="1"/>
        </w:numPr>
        <w:pBdr>
          <w:top w:color="000000" w:space="0" w:sz="0" w:val="none"/>
          <w:bottom w:color="000000" w:space="0" w:sz="0" w:val="none"/>
          <w:right w:color="000000" w:space="7" w:sz="0" w:val="none"/>
          <w:between w:color="000000" w:space="0" w:sz="0" w:val="none"/>
        </w:pBdr>
        <w:spacing w:after="160" w:line="315"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Vous êtes autonome, responsable, dynamique et aimez le travail en équipe.</w:t>
      </w:r>
    </w:p>
    <w:p w:rsidR="00000000" w:rsidDel="00000000" w:rsidP="00000000" w:rsidRDefault="00000000" w:rsidRPr="00000000" w14:paraId="0000002A">
      <w:pPr>
        <w:pBdr>
          <w:top w:color="000000" w:space="0" w:sz="0" w:val="none"/>
          <w:bottom w:color="000000" w:space="0" w:sz="0" w:val="none"/>
          <w:right w:color="000000" w:space="7" w:sz="0" w:val="none"/>
          <w:between w:color="000000" w:space="0" w:sz="0" w:val="none"/>
        </w:pBdr>
        <w:spacing w:after="160" w:line="315"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Modalités du poste :</w:t>
      </w:r>
    </w:p>
    <w:p w:rsidR="00000000" w:rsidDel="00000000" w:rsidP="00000000" w:rsidRDefault="00000000" w:rsidRPr="00000000" w14:paraId="0000002C">
      <w:pPr>
        <w:numPr>
          <w:ilvl w:val="0"/>
          <w:numId w:val="5"/>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Début du stage: immédiatement ou à convenir avec une durée minimum de 6 mois à 50% (20h minimum par semaine);</w:t>
      </w:r>
      <w:r w:rsidDel="00000000" w:rsidR="00000000" w:rsidRPr="00000000">
        <w:rPr>
          <w:rtl w:val="0"/>
        </w:rPr>
      </w:r>
    </w:p>
    <w:p w:rsidR="00000000" w:rsidDel="00000000" w:rsidP="00000000" w:rsidRDefault="00000000" w:rsidRPr="00000000" w14:paraId="0000002D">
      <w:pPr>
        <w:numPr>
          <w:ilvl w:val="0"/>
          <w:numId w:val="5"/>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Disponibilité indispensable les mardis et mercredis matins; 6 semaines de formation/intégration avec des horaires adaptables</w:t>
      </w:r>
    </w:p>
    <w:p w:rsidR="00000000" w:rsidDel="00000000" w:rsidP="00000000" w:rsidRDefault="00000000" w:rsidRPr="00000000" w14:paraId="0000002E">
      <w:pPr>
        <w:numPr>
          <w:ilvl w:val="0"/>
          <w:numId w:val="5"/>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En </w:t>
      </w:r>
      <w:r w:rsidDel="00000000" w:rsidR="00000000" w:rsidRPr="00000000">
        <w:rPr>
          <w:rFonts w:ascii="Calibri" w:cs="Calibri" w:eastAsia="Calibri" w:hAnsi="Calibri"/>
          <w:b w:val="1"/>
          <w:sz w:val="22"/>
          <w:szCs w:val="22"/>
          <w:rtl w:val="0"/>
        </w:rPr>
        <w:t xml:space="preserve">télétravail</w:t>
      </w:r>
      <w:r w:rsidDel="00000000" w:rsidR="00000000" w:rsidRPr="00000000">
        <w:rPr>
          <w:rFonts w:ascii="Calibri" w:cs="Calibri" w:eastAsia="Calibri" w:hAnsi="Calibri"/>
          <w:sz w:val="22"/>
          <w:szCs w:val="22"/>
          <w:rtl w:val="0"/>
        </w:rPr>
        <w:t xml:space="preserve"> depuis votre domicile;</w:t>
      </w:r>
      <w:r w:rsidDel="00000000" w:rsidR="00000000" w:rsidRPr="00000000">
        <w:rPr>
          <w:rtl w:val="0"/>
        </w:rPr>
      </w:r>
    </w:p>
    <w:p w:rsidR="00000000" w:rsidDel="00000000" w:rsidP="00000000" w:rsidRDefault="00000000" w:rsidRPr="00000000" w14:paraId="0000002F">
      <w:pPr>
        <w:numPr>
          <w:ilvl w:val="0"/>
          <w:numId w:val="7"/>
        </w:numPr>
        <w:pBdr>
          <w:top w:color="000000" w:space="0" w:sz="0" w:val="none"/>
          <w:bottom w:color="000000" w:space="0" w:sz="0" w:val="none"/>
          <w:right w:color="000000" w:space="0" w:sz="0" w:val="none"/>
          <w:between w:color="000000" w:space="0" w:sz="0" w:val="none"/>
        </w:pBdr>
        <w:spacing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La connexion via skype aux réunions est obligatoire;</w:t>
      </w:r>
      <w:r w:rsidDel="00000000" w:rsidR="00000000" w:rsidRPr="00000000">
        <w:rPr>
          <w:rtl w:val="0"/>
        </w:rPr>
      </w:r>
    </w:p>
    <w:p w:rsidR="00000000" w:rsidDel="00000000" w:rsidP="00000000" w:rsidRDefault="00000000" w:rsidRPr="00000000" w14:paraId="00000030">
      <w:pPr>
        <w:numPr>
          <w:ilvl w:val="0"/>
          <w:numId w:val="6"/>
        </w:numPr>
        <w:pBdr>
          <w:top w:color="000000" w:space="0" w:sz="0" w:val="none"/>
          <w:bottom w:color="000000" w:space="0" w:sz="0" w:val="none"/>
          <w:right w:color="000000" w:space="0" w:sz="0" w:val="none"/>
          <w:between w:color="000000" w:space="0" w:sz="0" w:val="none"/>
        </w:pBdr>
        <w:spacing w:line="276" w:lineRule="auto"/>
        <w:ind w:left="720" w:hanging="360"/>
        <w:jc w:val="both"/>
        <w:rPr>
          <w:color w:val="000000"/>
          <w:sz w:val="22"/>
          <w:szCs w:val="22"/>
        </w:rPr>
      </w:pPr>
      <w:r w:rsidDel="00000000" w:rsidR="00000000" w:rsidRPr="00000000">
        <w:rPr>
          <w:rFonts w:ascii="Calibri" w:cs="Calibri" w:eastAsia="Calibri" w:hAnsi="Calibri"/>
          <w:sz w:val="22"/>
          <w:szCs w:val="22"/>
          <w:rtl w:val="0"/>
        </w:rPr>
        <w:t xml:space="preserve">Le stage </w:t>
      </w:r>
      <w:r w:rsidDel="00000000" w:rsidR="00000000" w:rsidRPr="00000000">
        <w:rPr>
          <w:rFonts w:ascii="Calibri" w:cs="Calibri" w:eastAsia="Calibri" w:hAnsi="Calibri"/>
          <w:b w:val="1"/>
          <w:sz w:val="22"/>
          <w:szCs w:val="22"/>
          <w:rtl w:val="0"/>
        </w:rPr>
        <w:t xml:space="preserve">n’est pas rémunéré</w:t>
      </w:r>
      <w:r w:rsidDel="00000000" w:rsidR="00000000" w:rsidRPr="00000000">
        <w:rPr>
          <w:rFonts w:ascii="Calibri" w:cs="Calibri" w:eastAsia="Calibri" w:hAnsi="Calibri"/>
          <w:sz w:val="22"/>
          <w:szCs w:val="22"/>
          <w:rtl w:val="0"/>
        </w:rPr>
        <w:t xml:space="preserve"> mais nous certifions les compétences professionnelles développées et acquises par un certificat.</w:t>
      </w:r>
      <w:r w:rsidDel="00000000" w:rsidR="00000000" w:rsidRPr="00000000">
        <w:rPr>
          <w:rtl w:val="0"/>
        </w:rPr>
      </w:r>
    </w:p>
    <w:p w:rsidR="00000000" w:rsidDel="00000000" w:rsidP="00000000" w:rsidRDefault="00000000" w:rsidRPr="00000000" w14:paraId="00000031">
      <w:pPr>
        <w:spacing w:line="276"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76" w:lineRule="auto"/>
        <w:ind w:left="435" w:hanging="2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Si vous vous sentez concerné(e) par le développement durable et que vous avez envie d’exercer une activité de manière autonome, alors n’hésitez pas à nous faire parvenir votre candidature. Nous attendons avec impatience votre </w:t>
      </w:r>
      <w:r w:rsidDel="00000000" w:rsidR="00000000" w:rsidRPr="00000000">
        <w:rPr>
          <w:rFonts w:ascii="Calibri" w:cs="Calibri" w:eastAsia="Calibri" w:hAnsi="Calibri"/>
          <w:b w:val="1"/>
          <w:sz w:val="22"/>
          <w:szCs w:val="22"/>
          <w:rtl w:val="0"/>
        </w:rPr>
        <w:t xml:space="preserve">dossier de candidature complet</w:t>
      </w:r>
      <w:r w:rsidDel="00000000" w:rsidR="00000000" w:rsidRPr="00000000">
        <w:rPr>
          <w:rFonts w:ascii="Calibri" w:cs="Calibri" w:eastAsia="Calibri" w:hAnsi="Calibri"/>
          <w:sz w:val="22"/>
          <w:szCs w:val="22"/>
          <w:rtl w:val="0"/>
        </w:rPr>
        <w:t xml:space="preserve"> (CV et lettre de motivation) à cette adresse: </w:t>
      </w:r>
      <w:r w:rsidDel="00000000" w:rsidR="00000000" w:rsidRPr="00000000">
        <w:rPr>
          <w:rFonts w:ascii="Calibri" w:cs="Calibri" w:eastAsia="Calibri" w:hAnsi="Calibri"/>
          <w:b w:val="1"/>
          <w:sz w:val="22"/>
          <w:szCs w:val="22"/>
          <w:rtl w:val="0"/>
        </w:rPr>
        <w:t xml:space="preserve">hr@gaea21.org</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Merci de mentionner la référence de l’annonce! (BML 03)</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Afin de mieux connaître notre association, nous vous invitons à vous rendre sur notre site internet: </w:t>
      </w:r>
      <w:hyperlink r:id="rId7">
        <w:r w:rsidDel="00000000" w:rsidR="00000000" w:rsidRPr="00000000">
          <w:rPr>
            <w:rFonts w:ascii="Calibri" w:cs="Calibri" w:eastAsia="Calibri" w:hAnsi="Calibri"/>
            <w:color w:val="1155cc"/>
            <w:sz w:val="22"/>
            <w:szCs w:val="22"/>
            <w:u w:val="single"/>
            <w:rtl w:val="0"/>
          </w:rPr>
          <w:t xml:space="preserve">www.gaea21.org</w:t>
        </w:r>
      </w:hyperlink>
      <w:r w:rsidDel="00000000" w:rsidR="00000000" w:rsidRPr="00000000">
        <w:rPr>
          <w:rtl w:val="0"/>
        </w:rPr>
      </w:r>
    </w:p>
    <w:p w:rsidR="00000000" w:rsidDel="00000000" w:rsidP="00000000" w:rsidRDefault="00000000" w:rsidRPr="00000000" w14:paraId="00000036">
      <w:pPr>
        <w:shd w:fill="ffffff" w:val="clear"/>
        <w:spacing w:line="288" w:lineRule="auto"/>
        <w:jc w:val="both"/>
        <w:rPr>
          <w:rFonts w:ascii="Arial" w:cs="Arial" w:eastAsia="Arial" w:hAnsi="Arial"/>
          <w:i w:val="1"/>
          <w:color w:val="98984b"/>
          <w:sz w:val="20"/>
          <w:szCs w:val="20"/>
        </w:rPr>
      </w:pPr>
      <w:r w:rsidDel="00000000" w:rsidR="00000000" w:rsidRPr="00000000">
        <w:rPr>
          <w:rtl w:val="0"/>
        </w:rPr>
      </w:r>
    </w:p>
    <w:p w:rsidR="00000000" w:rsidDel="00000000" w:rsidP="00000000" w:rsidRDefault="00000000" w:rsidRPr="00000000" w14:paraId="00000037">
      <w:pPr>
        <w:shd w:fill="ffffff" w:val="clear"/>
        <w:spacing w:line="288"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fldChar w:fldCharType="begin"/>
        <w:instrText xml:space="preserve"> HYPERLINK "http://www.gaea21.org" </w:instrText>
        <w:fldChar w:fldCharType="separate"/>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fldChar w:fldCharType="end"/>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18.5039370078755" w:top="1700" w:left="1700" w:right="17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color w:val="1155cc"/>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Arial" w:cs="Arial" w:eastAsia="Arial" w:hAnsi="Arial"/>
        <w:i w:val="1"/>
        <w:color w:val="98984b"/>
        <w:sz w:val="20"/>
        <w:szCs w:val="20"/>
      </w:rPr>
    </w:pPr>
    <w:r w:rsidDel="00000000" w:rsidR="00000000" w:rsidRPr="00000000">
      <w:rPr>
        <w:rtl w:val="0"/>
      </w:rPr>
    </w:r>
  </w:p>
  <w:p w:rsidR="00000000" w:rsidDel="00000000" w:rsidP="00000000" w:rsidRDefault="00000000" w:rsidRPr="00000000" w14:paraId="0000004B">
    <w:pPr>
      <w:widowControl w:val="1"/>
      <w:shd w:fill="ffffff" w:val="clear"/>
      <w:spacing w:line="288" w:lineRule="auto"/>
      <w:jc w:val="both"/>
      <w:rPr>
        <w:rFonts w:ascii="Calibri" w:cs="Calibri" w:eastAsia="Calibri" w:hAnsi="Calibri"/>
      </w:rPr>
    </w:pPr>
    <w:r w:rsidDel="00000000" w:rsidR="00000000" w:rsidRPr="00000000">
      <w:rPr>
        <w:rFonts w:ascii="Arial" w:cs="Arial" w:eastAsia="Arial" w:hAnsi="Arial"/>
        <w:i w:val="1"/>
        <w:color w:val="98984b"/>
        <w:sz w:val="20"/>
        <w:szCs w:val="20"/>
        <w:rtl w:val="0"/>
      </w:rPr>
      <w:t xml:space="preserve">gaea21 est un think tank, un centre de recherches appliquées en économie circulaire et économie verte, un organisme de post-formation, une interface et une plateforme de facilitation et de compétences pluridisciplinaires qui crée des passerelles entre individus, entreprises privées, administrations. </w:t>
    </w:r>
    <w:r w:rsidDel="00000000" w:rsidR="00000000" w:rsidRPr="00000000">
      <w:rPr>
        <w:rtl w:val="0"/>
      </w:rPr>
    </w:r>
  </w:p>
  <w:p w:rsidR="00000000" w:rsidDel="00000000" w:rsidP="00000000" w:rsidRDefault="00000000" w:rsidRPr="00000000" w14:paraId="0000004C">
    <w:pPr>
      <w:widowControl w:val="1"/>
      <w:shd w:fill="ffffff" w:val="clear"/>
      <w:spacing w:line="288" w:lineRule="auto"/>
      <w:jc w:val="both"/>
      <w:rPr>
        <w:rFonts w:ascii="Arial" w:cs="Arial" w:eastAsia="Arial" w:hAnsi="Arial"/>
        <w:i w:val="1"/>
        <w:color w:val="98984b"/>
        <w:sz w:val="20"/>
        <w:szCs w:val="20"/>
      </w:rPr>
    </w:pPr>
    <w:r w:rsidDel="00000000" w:rsidR="00000000" w:rsidRPr="00000000">
      <w:rPr>
        <w:rtl w:val="0"/>
      </w:rPr>
    </w:r>
  </w:p>
  <w:p w:rsidR="00000000" w:rsidDel="00000000" w:rsidP="00000000" w:rsidRDefault="00000000" w:rsidRPr="00000000" w14:paraId="0000004D">
    <w:pPr>
      <w:widowControl w:val="1"/>
      <w:shd w:fill="ffffff" w:val="clear"/>
      <w:spacing w:line="288" w:lineRule="auto"/>
      <w:jc w:val="both"/>
      <w:rPr>
        <w:rFonts w:ascii="Arial" w:cs="Arial" w:eastAsia="Arial" w:hAnsi="Arial"/>
        <w:i w:val="1"/>
        <w:color w:val="98984b"/>
        <w:sz w:val="20"/>
        <w:szCs w:val="20"/>
      </w:rPr>
    </w:pPr>
    <w:r w:rsidDel="00000000" w:rsidR="00000000" w:rsidRPr="00000000">
      <w:rPr>
        <w:rFonts w:ascii="Arial" w:cs="Arial" w:eastAsia="Arial" w:hAnsi="Arial"/>
        <w:i w:val="1"/>
        <w:color w:val="98984b"/>
        <w:sz w:val="20"/>
        <w:szCs w:val="20"/>
        <w:rtl w:val="0"/>
      </w:rPr>
      <w:t xml:space="preserve">gaea21 développe des programmes sur mesure et des outils concrets et innovants articulés autour de la production et de la consommation responsable. Ces programmes ont pour impact de stimuler le changement de comportement des 3 acteurs précités. En ce sens, l’action de gaea21 est une mise en oeuvre et une application de l’Agenda 21, signé par la Confédération helvétique.</w:t>
    </w:r>
  </w:p>
  <w:p w:rsidR="00000000" w:rsidDel="00000000" w:rsidP="00000000" w:rsidRDefault="00000000" w:rsidRPr="00000000" w14:paraId="0000004E">
    <w:pPr>
      <w:widowControl w:val="1"/>
      <w:shd w:fill="ffffff" w:val="clear"/>
      <w:spacing w:line="288" w:lineRule="auto"/>
      <w:jc w:val="both"/>
      <w:rPr>
        <w:rFonts w:ascii="Arial" w:cs="Arial" w:eastAsia="Arial" w:hAnsi="Arial"/>
        <w:i w:val="1"/>
        <w:color w:val="98984b"/>
        <w:sz w:val="20"/>
        <w:szCs w:val="20"/>
      </w:rPr>
    </w:pPr>
    <w:r w:rsidDel="00000000" w:rsidR="00000000" w:rsidRPr="00000000">
      <w:rPr>
        <w:rFonts w:ascii="Arial" w:cs="Arial" w:eastAsia="Arial" w:hAnsi="Arial"/>
        <w:i w:val="1"/>
        <w:color w:val="98984b"/>
        <w:sz w:val="20"/>
        <w:szCs w:val="20"/>
        <w:rtl w:val="0"/>
      </w:rPr>
      <w:t xml:space="preserve">gaea21 est aussi, fondamentalement un organisme de post formation et une plateforme d’insertion et de réinsertion professionnelle. Notre taux d’insertion et de réinsertion se maintient entre 94% et 97% depuis 2007 pour plus de 1250 personnes passées dans notre organisation.</w:t>
    </w:r>
  </w:p>
  <w:tbl>
    <w:tblPr>
      <w:tblStyle w:val="Table7"/>
      <w:tblW w:w="8516.0" w:type="dxa"/>
      <w:jc w:val="left"/>
      <w:tblInd w:w="0.0" w:type="pct"/>
      <w:tblLayout w:type="fixed"/>
      <w:tblLook w:val="0600"/>
    </w:tblPr>
    <w:tblGrid>
      <w:gridCol w:w="8516"/>
      <w:tblGridChange w:id="0">
        <w:tblGrid>
          <w:gridCol w:w="8516"/>
        </w:tblGrid>
      </w:tblGridChange>
    </w:tblGrid>
    <w:tr>
      <w:trPr>
        <w:trHeight w:val="420" w:hRule="atLeast"/>
      </w:trPr>
      <w:tc>
        <w:tcPr>
          <w:shd w:fill="auto" w:val="clear"/>
          <w:tcMar>
            <w:top w:w="100.0" w:type="dxa"/>
            <w:left w:w="0.0" w:type="dxa"/>
            <w:bottom w:w="100.0" w:type="dxa"/>
            <w:right w:w="0.0" w:type="dxa"/>
          </w:tcMar>
          <w:vAlign w:val="center"/>
        </w:tcPr>
        <w:p w:rsidR="00000000" w:rsidDel="00000000" w:rsidP="00000000" w:rsidRDefault="00000000" w:rsidRPr="00000000" w14:paraId="0000004F">
          <w:pPr>
            <w:rPr>
              <w:rFonts w:ascii="Arial" w:cs="Arial" w:eastAsia="Arial" w:hAnsi="Arial"/>
              <w:i w:val="1"/>
              <w:color w:val="98984b"/>
              <w:sz w:val="18"/>
              <w:szCs w:val="18"/>
            </w:rPr>
          </w:pPr>
          <w:hyperlink r:id="rId1">
            <w:r w:rsidDel="00000000" w:rsidR="00000000" w:rsidRPr="00000000">
              <w:rPr>
                <w:rFonts w:ascii="Arial" w:cs="Arial" w:eastAsia="Arial" w:hAnsi="Arial"/>
                <w:color w:val="1155cc"/>
                <w:sz w:val="18"/>
                <w:szCs w:val="18"/>
                <w:u w:val="single"/>
              </w:rPr>
              <w:drawing>
                <wp:inline distB="19050" distT="19050" distL="19050" distR="19050">
                  <wp:extent cx="5403850" cy="38100"/>
                  <wp:effectExtent b="0" l="0" r="0" t="0"/>
                  <wp:docPr id="1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40385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50">
    <w:pPr>
      <w:rPr>
        <w:rFonts w:ascii="Arial" w:cs="Arial" w:eastAsia="Arial" w:hAnsi="Arial"/>
        <w:i w:val="1"/>
        <w:color w:val="98984b"/>
        <w:sz w:val="20"/>
        <w:szCs w:val="20"/>
      </w:rPr>
    </w:pPr>
    <w:r w:rsidDel="00000000" w:rsidR="00000000" w:rsidRPr="00000000">
      <w:rPr>
        <w:rtl w:val="0"/>
      </w:rPr>
    </w:r>
  </w:p>
  <w:tbl>
    <w:tblPr>
      <w:tblStyle w:val="Table8"/>
      <w:tblW w:w="8550.0" w:type="dxa"/>
      <w:jc w:val="left"/>
      <w:tblInd w:w="100.0" w:type="pct"/>
      <w:tblLayout w:type="fixed"/>
      <w:tblLook w:val="0600"/>
    </w:tblPr>
    <w:tblGrid>
      <w:gridCol w:w="8550"/>
      <w:tblGridChange w:id="0">
        <w:tblGrid>
          <w:gridCol w:w="8550"/>
        </w:tblGrid>
      </w:tblGridChange>
    </w:tblGrid>
    <w:tr>
      <w:tc>
        <w:tcPr>
          <w:shd w:fill="98984b" w:val="clear"/>
          <w:tcMar>
            <w:top w:w="100.0" w:type="dxa"/>
            <w:left w:w="100.0" w:type="dxa"/>
            <w:bottom w:w="100.0" w:type="dxa"/>
            <w:right w:w="100.0" w:type="dxa"/>
          </w:tcMar>
          <w:vAlign w:val="top"/>
        </w:tcPr>
        <w:p w:rsidR="00000000" w:rsidDel="00000000" w:rsidP="00000000" w:rsidRDefault="00000000" w:rsidRPr="00000000" w14:paraId="00000051">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gaea21</w:t>
          </w:r>
        </w:p>
        <w:p w:rsidR="00000000" w:rsidDel="00000000" w:rsidP="00000000" w:rsidRDefault="00000000" w:rsidRPr="00000000" w14:paraId="00000052">
          <w:pPr>
            <w:jc w:val="center"/>
            <w:rPr/>
          </w:pPr>
          <w:r w:rsidDel="00000000" w:rsidR="00000000" w:rsidRPr="00000000">
            <w:rPr>
              <w:rFonts w:ascii="Arial" w:cs="Arial" w:eastAsia="Arial" w:hAnsi="Arial"/>
              <w:color w:val="ffffff"/>
              <w:sz w:val="18"/>
              <w:szCs w:val="18"/>
              <w:rtl w:val="0"/>
            </w:rPr>
            <w:t xml:space="preserve">Avenue des Morgines 9, 1213 Petit-Lancy, Suisse / tél: 022 320 66 73  </w:t>
            <w:br w:type="textWrapping"/>
            <w:t xml:space="preserve">email: </w:t>
          </w:r>
          <w:hyperlink r:id="rId3">
            <w:r w:rsidDel="00000000" w:rsidR="00000000" w:rsidRPr="00000000">
              <w:rPr>
                <w:rFonts w:ascii="Arial" w:cs="Arial" w:eastAsia="Arial" w:hAnsi="Arial"/>
                <w:color w:val="1155cc"/>
                <w:sz w:val="18"/>
                <w:szCs w:val="18"/>
                <w:u w:val="single"/>
                <w:rtl w:val="0"/>
              </w:rPr>
              <w:t xml:space="preserve">info@gaea21.org</w:t>
            </w:r>
          </w:hyperlink>
          <w:r w:rsidDel="00000000" w:rsidR="00000000" w:rsidRPr="00000000">
            <w:rPr>
              <w:rtl w:val="0"/>
            </w:rPr>
          </w:r>
        </w:p>
        <w:p w:rsidR="00000000" w:rsidDel="00000000" w:rsidP="00000000" w:rsidRDefault="00000000" w:rsidRPr="00000000" w14:paraId="00000053">
          <w:pPr>
            <w:jc w:val="center"/>
            <w:rPr>
              <w:rFonts w:ascii="Arial" w:cs="Arial" w:eastAsia="Arial" w:hAnsi="Arial"/>
              <w:i w:val="1"/>
              <w:color w:val="98984b"/>
              <w:sz w:val="20"/>
              <w:szCs w:val="20"/>
            </w:rPr>
          </w:pPr>
          <w:r w:rsidDel="00000000" w:rsidR="00000000" w:rsidRPr="00000000">
            <w:rPr>
              <w:rFonts w:ascii="Arial" w:cs="Arial" w:eastAsia="Arial" w:hAnsi="Arial"/>
              <w:color w:val="ffffff"/>
              <w:sz w:val="18"/>
              <w:szCs w:val="18"/>
              <w:rtl w:val="0"/>
            </w:rPr>
            <w:t xml:space="preserve">Twitter : gaea21 tweet  Facebook: gaea21  Linkedin: gaea21 /</w:t>
          </w:r>
          <w:hyperlink r:id="rId4">
            <w:r w:rsidDel="00000000" w:rsidR="00000000" w:rsidRPr="00000000">
              <w:rPr>
                <w:rFonts w:ascii="Arial" w:cs="Arial" w:eastAsia="Arial" w:hAnsi="Arial"/>
                <w:color w:val="ffffff"/>
                <w:sz w:val="18"/>
                <w:szCs w:val="18"/>
                <w:rtl w:val="0"/>
              </w:rPr>
              <w:t xml:space="preserve"> </w:t>
            </w:r>
          </w:hyperlink>
          <w:hyperlink r:id="rId5">
            <w:r w:rsidDel="00000000" w:rsidR="00000000" w:rsidRPr="00000000">
              <w:rPr>
                <w:rFonts w:ascii="Arial" w:cs="Arial" w:eastAsia="Arial" w:hAnsi="Arial"/>
                <w:color w:val="ffffff"/>
                <w:sz w:val="18"/>
                <w:szCs w:val="18"/>
                <w:u w:val="single"/>
                <w:rtl w:val="0"/>
              </w:rPr>
              <w:t xml:space="preserve">www.gaea21.or</w:t>
            </w:r>
          </w:hyperlink>
          <w:hyperlink r:id="rId6">
            <w:r w:rsidDel="00000000" w:rsidR="00000000" w:rsidRPr="00000000">
              <w:rPr>
                <w:rFonts w:ascii="Arial" w:cs="Arial" w:eastAsia="Arial" w:hAnsi="Arial"/>
                <w:color w:val="ffffff"/>
                <w:sz w:val="18"/>
                <w:szCs w:val="18"/>
                <w:rtl w:val="0"/>
              </w:rPr>
              <w:t xml:space="preserve">g</w:t>
            </w:r>
          </w:hyperlink>
          <w:hyperlink r:id="rId7">
            <w:r w:rsidDel="00000000" w:rsidR="00000000" w:rsidRPr="00000000">
              <w:rPr>
                <w:rFonts w:ascii="Arial" w:cs="Arial" w:eastAsia="Arial" w:hAnsi="Arial"/>
                <w:color w:val="1155cc"/>
                <w:sz w:val="18"/>
                <w:szCs w:val="18"/>
                <w:u w:val="single"/>
              </w:rPr>
              <w:drawing>
                <wp:inline distB="19050" distT="19050" distL="19050" distR="19050">
                  <wp:extent cx="5295900" cy="38100"/>
                  <wp:effectExtent b="0" l="0" r="0" t="0"/>
                  <wp:docPr id="1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29590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54">
    <w:pPr>
      <w:rPr>
        <w:rFonts w:ascii="Arial" w:cs="Arial" w:eastAsia="Arial" w:hAnsi="Arial"/>
        <w:color w:val="ffffff"/>
        <w:sz w:val="18"/>
        <w:szCs w:val="18"/>
        <w:u w:val="singl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color w:val="98984b"/>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color w:val="1155cc"/>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before="200" w:lineRule="auto"/>
      <w:jc w:val="center"/>
      <w:rPr>
        <w:rFonts w:ascii="Arial" w:cs="Arial" w:eastAsia="Arial" w:hAnsi="Arial"/>
        <w:color w:val="1155cc"/>
        <w:sz w:val="18"/>
        <w:szCs w:val="18"/>
        <w:u w:val="single"/>
      </w:rPr>
    </w:pPr>
    <w:r w:rsidDel="00000000" w:rsidR="00000000" w:rsidRPr="00000000">
      <w:rPr>
        <w:rtl w:val="0"/>
      </w:rPr>
    </w:r>
  </w:p>
  <w:tbl>
    <w:tblPr>
      <w:tblStyle w:val="Table1"/>
      <w:tblW w:w="8516.0" w:type="dxa"/>
      <w:jc w:val="left"/>
      <w:tblInd w:w="0.0" w:type="pct"/>
      <w:tblLayout w:type="fixed"/>
      <w:tblLook w:val="0600"/>
    </w:tblPr>
    <w:tblGrid>
      <w:gridCol w:w="8516"/>
      <w:tblGridChange w:id="0">
        <w:tblGrid>
          <w:gridCol w:w="8516"/>
        </w:tblGrid>
      </w:tblGridChange>
    </w:tblGrid>
    <w:tr>
      <w:tc>
        <w:tcPr>
          <w:shd w:fill="auto" w:val="clear"/>
          <w:tcMar>
            <w:top w:w="100.0" w:type="dxa"/>
            <w:left w:w="0.0" w:type="dxa"/>
            <w:bottom w:w="100.0" w:type="dxa"/>
            <w:right w:w="0.0" w:type="dxa"/>
          </w:tcMar>
          <w:vAlign w:val="center"/>
        </w:tcPr>
        <w:p w:rsidR="00000000" w:rsidDel="00000000" w:rsidP="00000000" w:rsidRDefault="00000000" w:rsidRPr="00000000" w14:paraId="0000003B">
          <w:pPr>
            <w:rPr>
              <w:rFonts w:ascii="Arial" w:cs="Arial" w:eastAsia="Arial" w:hAnsi="Arial"/>
              <w:color w:val="1155cc"/>
              <w:sz w:val="18"/>
              <w:szCs w:val="18"/>
              <w:u w:val="single"/>
            </w:rPr>
          </w:pPr>
          <w:hyperlink r:id="rId1">
            <w:r w:rsidDel="00000000" w:rsidR="00000000" w:rsidRPr="00000000">
              <w:rPr>
                <w:rFonts w:ascii="Arial" w:cs="Arial" w:eastAsia="Arial" w:hAnsi="Arial"/>
                <w:color w:val="1155cc"/>
                <w:sz w:val="18"/>
                <w:szCs w:val="18"/>
                <w:u w:val="single"/>
              </w:rPr>
              <w:drawing>
                <wp:inline distB="19050" distT="19050" distL="19050" distR="19050">
                  <wp:extent cx="1766888" cy="591741"/>
                  <wp:effectExtent b="0" l="0" r="0" t="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66888" cy="591741"/>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3C">
    <w:pPr>
      <w:widowControl w:val="1"/>
      <w:jc w:val="both"/>
      <w:rPr>
        <w:rFonts w:ascii="Arial" w:cs="Arial" w:eastAsia="Arial" w:hAnsi="Arial"/>
        <w:i w:val="1"/>
        <w:color w:val="98984b"/>
        <w:sz w:val="20"/>
        <w:szCs w:val="20"/>
      </w:rPr>
    </w:pPr>
    <w:r w:rsidDel="00000000" w:rsidR="00000000" w:rsidRPr="00000000">
      <w:rPr>
        <w:rtl w:val="0"/>
      </w:rPr>
    </w:r>
  </w:p>
  <w:tbl>
    <w:tblPr>
      <w:tblStyle w:val="Table2"/>
      <w:tblW w:w="8516.0" w:type="dxa"/>
      <w:jc w:val="left"/>
      <w:tblInd w:w="0.0" w:type="pct"/>
      <w:tblLayout w:type="fixed"/>
      <w:tblLook w:val="0600"/>
    </w:tblPr>
    <w:tblGrid>
      <w:gridCol w:w="8516"/>
      <w:tblGridChange w:id="0">
        <w:tblGrid>
          <w:gridCol w:w="8516"/>
        </w:tblGrid>
      </w:tblGridChange>
    </w:tblGrid>
    <w:tr>
      <w:trPr>
        <w:trHeight w:val="120" w:hRule="atLeast"/>
      </w:trPr>
      <w:tc>
        <w:tcPr>
          <w:shd w:fill="auto" w:val="clear"/>
          <w:tcMar>
            <w:top w:w="100.0" w:type="dxa"/>
            <w:left w:w="0.0" w:type="dxa"/>
            <w:bottom w:w="100.0" w:type="dxa"/>
            <w:right w:w="0.0" w:type="dxa"/>
          </w:tcMar>
          <w:vAlign w:val="center"/>
        </w:tcPr>
        <w:p w:rsidR="00000000" w:rsidDel="00000000" w:rsidP="00000000" w:rsidRDefault="00000000" w:rsidRPr="00000000" w14:paraId="0000003D">
          <w:pPr>
            <w:rPr>
              <w:rFonts w:ascii="Arial" w:cs="Arial" w:eastAsia="Arial" w:hAnsi="Arial"/>
              <w:i w:val="1"/>
              <w:color w:val="98984b"/>
              <w:sz w:val="18"/>
              <w:szCs w:val="18"/>
            </w:rPr>
          </w:pPr>
          <w:hyperlink r:id="rId3">
            <w:r w:rsidDel="00000000" w:rsidR="00000000" w:rsidRPr="00000000">
              <w:rPr>
                <w:rFonts w:ascii="Arial" w:cs="Arial" w:eastAsia="Arial" w:hAnsi="Arial"/>
                <w:color w:val="1155cc"/>
                <w:sz w:val="18"/>
                <w:szCs w:val="18"/>
                <w:u w:val="single"/>
              </w:rPr>
              <w:drawing>
                <wp:inline distB="19050" distT="19050" distL="19050" distR="19050">
                  <wp:extent cx="5403850" cy="38100"/>
                  <wp:effectExtent b="0" l="0" r="0" t="0"/>
                  <wp:docPr id="11"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540385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3E">
    <w:pPr>
      <w:rPr>
        <w:color w:val="1155cc"/>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before="200" w:lineRule="auto"/>
      <w:jc w:val="center"/>
      <w:rPr>
        <w:rFonts w:ascii="Arial" w:cs="Arial" w:eastAsia="Arial" w:hAnsi="Arial"/>
        <w:color w:val="1155cc"/>
        <w:sz w:val="18"/>
        <w:szCs w:val="18"/>
        <w:u w:val="single"/>
      </w:rPr>
    </w:pPr>
    <w:r w:rsidDel="00000000" w:rsidR="00000000" w:rsidRPr="00000000">
      <w:rPr>
        <w:rtl w:val="0"/>
      </w:rPr>
    </w:r>
  </w:p>
  <w:tbl>
    <w:tblPr>
      <w:tblStyle w:val="Table3"/>
      <w:tblW w:w="8516.0" w:type="dxa"/>
      <w:jc w:val="left"/>
      <w:tblInd w:w="0.0" w:type="pct"/>
      <w:tblLayout w:type="fixed"/>
      <w:tblLook w:val="0600"/>
    </w:tblPr>
    <w:tblGrid>
      <w:gridCol w:w="8516"/>
      <w:tblGridChange w:id="0">
        <w:tblGrid>
          <w:gridCol w:w="8516"/>
        </w:tblGrid>
      </w:tblGridChange>
    </w:tblGrid>
    <w:tr>
      <w:tc>
        <w:tcPr>
          <w:shd w:fill="auto" w:val="clear"/>
          <w:tcMar>
            <w:top w:w="100.0" w:type="dxa"/>
            <w:left w:w="0.0" w:type="dxa"/>
            <w:bottom w:w="100.0" w:type="dxa"/>
            <w:right w:w="0.0" w:type="dxa"/>
          </w:tcMar>
          <w:vAlign w:val="center"/>
        </w:tcPr>
        <w:p w:rsidR="00000000" w:rsidDel="00000000" w:rsidP="00000000" w:rsidRDefault="00000000" w:rsidRPr="00000000" w14:paraId="00000040">
          <w:pPr>
            <w:rPr>
              <w:rFonts w:ascii="Arial" w:cs="Arial" w:eastAsia="Arial" w:hAnsi="Arial"/>
              <w:color w:val="1155cc"/>
              <w:sz w:val="18"/>
              <w:szCs w:val="18"/>
              <w:u w:val="single"/>
            </w:rPr>
          </w:pPr>
          <w:hyperlink r:id="rId1">
            <w:r w:rsidDel="00000000" w:rsidR="00000000" w:rsidRPr="00000000">
              <w:rPr>
                <w:rFonts w:ascii="Arial" w:cs="Arial" w:eastAsia="Arial" w:hAnsi="Arial"/>
                <w:color w:val="1155cc"/>
                <w:sz w:val="18"/>
                <w:szCs w:val="18"/>
                <w:u w:val="single"/>
              </w:rPr>
              <w:drawing>
                <wp:inline distB="19050" distT="19050" distL="19050" distR="19050">
                  <wp:extent cx="1766888" cy="591741"/>
                  <wp:effectExtent b="0" l="0" r="0" t="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66888" cy="591741"/>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1">
    <w:pPr>
      <w:widowControl w:val="1"/>
      <w:jc w:val="both"/>
      <w:rPr>
        <w:rFonts w:ascii="Arial" w:cs="Arial" w:eastAsia="Arial" w:hAnsi="Arial"/>
        <w:i w:val="1"/>
        <w:color w:val="98984b"/>
        <w:sz w:val="20"/>
        <w:szCs w:val="20"/>
      </w:rPr>
    </w:pPr>
    <w:r w:rsidDel="00000000" w:rsidR="00000000" w:rsidRPr="00000000">
      <w:rPr>
        <w:rtl w:val="0"/>
      </w:rPr>
    </w:r>
  </w:p>
  <w:tbl>
    <w:tblPr>
      <w:tblStyle w:val="Table4"/>
      <w:tblW w:w="8516.0" w:type="dxa"/>
      <w:jc w:val="left"/>
      <w:tblInd w:w="0.0" w:type="pct"/>
      <w:tblLayout w:type="fixed"/>
      <w:tblLook w:val="0600"/>
    </w:tblPr>
    <w:tblGrid>
      <w:gridCol w:w="8516"/>
      <w:tblGridChange w:id="0">
        <w:tblGrid>
          <w:gridCol w:w="8516"/>
        </w:tblGrid>
      </w:tblGridChange>
    </w:tblGrid>
    <w:tr>
      <w:trPr>
        <w:trHeight w:val="120" w:hRule="atLeast"/>
      </w:trPr>
      <w:tc>
        <w:tcPr>
          <w:shd w:fill="auto" w:val="clear"/>
          <w:tcMar>
            <w:top w:w="100.0" w:type="dxa"/>
            <w:left w:w="0.0" w:type="dxa"/>
            <w:bottom w:w="100.0" w:type="dxa"/>
            <w:right w:w="0.0" w:type="dxa"/>
          </w:tcMar>
          <w:vAlign w:val="center"/>
        </w:tcPr>
        <w:p w:rsidR="00000000" w:rsidDel="00000000" w:rsidP="00000000" w:rsidRDefault="00000000" w:rsidRPr="00000000" w14:paraId="00000042">
          <w:pPr>
            <w:rPr>
              <w:rFonts w:ascii="Arial" w:cs="Arial" w:eastAsia="Arial" w:hAnsi="Arial"/>
              <w:i w:val="1"/>
              <w:color w:val="98984b"/>
              <w:sz w:val="18"/>
              <w:szCs w:val="18"/>
            </w:rPr>
          </w:pPr>
          <w:hyperlink r:id="rId3">
            <w:r w:rsidDel="00000000" w:rsidR="00000000" w:rsidRPr="00000000">
              <w:rPr>
                <w:rFonts w:ascii="Arial" w:cs="Arial" w:eastAsia="Arial" w:hAnsi="Arial"/>
                <w:color w:val="1155cc"/>
                <w:sz w:val="18"/>
                <w:szCs w:val="18"/>
                <w:u w:val="single"/>
              </w:rPr>
              <w:drawing>
                <wp:inline distB="19050" distT="19050" distL="19050" distR="19050">
                  <wp:extent cx="5403850" cy="38100"/>
                  <wp:effectExtent b="0" l="0" r="0" t="0"/>
                  <wp:docPr id="13"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540385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3">
    <w:pPr>
      <w:rPr>
        <w:color w:val="1155cc"/>
        <w:u w:val="singl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before="200" w:lineRule="auto"/>
      <w:jc w:val="center"/>
      <w:rPr>
        <w:rFonts w:ascii="Arial" w:cs="Arial" w:eastAsia="Arial" w:hAnsi="Arial"/>
        <w:color w:val="1155cc"/>
        <w:sz w:val="18"/>
        <w:szCs w:val="18"/>
        <w:u w:val="single"/>
      </w:rPr>
    </w:pPr>
    <w:r w:rsidDel="00000000" w:rsidR="00000000" w:rsidRPr="00000000">
      <w:rPr>
        <w:rtl w:val="0"/>
      </w:rPr>
    </w:r>
  </w:p>
  <w:tbl>
    <w:tblPr>
      <w:tblStyle w:val="Table5"/>
      <w:tblW w:w="8516.0" w:type="dxa"/>
      <w:jc w:val="left"/>
      <w:tblInd w:w="0.0" w:type="pct"/>
      <w:tblLayout w:type="fixed"/>
      <w:tblLook w:val="0600"/>
    </w:tblPr>
    <w:tblGrid>
      <w:gridCol w:w="8516"/>
      <w:tblGridChange w:id="0">
        <w:tblGrid>
          <w:gridCol w:w="8516"/>
        </w:tblGrid>
      </w:tblGridChange>
    </w:tblGrid>
    <w:tr>
      <w:tc>
        <w:tcPr>
          <w:shd w:fill="auto" w:val="clear"/>
          <w:tcMar>
            <w:top w:w="100.0" w:type="dxa"/>
            <w:left w:w="0.0" w:type="dxa"/>
            <w:bottom w:w="100.0" w:type="dxa"/>
            <w:right w:w="0.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color w:val="1155cc"/>
              <w:sz w:val="18"/>
              <w:szCs w:val="18"/>
              <w:u w:val="single"/>
            </w:rPr>
          </w:pPr>
          <w:r w:rsidDel="00000000" w:rsidR="00000000" w:rsidRPr="00000000">
            <w:rPr>
              <w:rFonts w:ascii="Arial" w:cs="Arial" w:eastAsia="Arial" w:hAnsi="Arial"/>
              <w:color w:val="1155cc"/>
              <w:sz w:val="18"/>
              <w:szCs w:val="18"/>
              <w:u w:val="single"/>
            </w:rPr>
            <w:drawing>
              <wp:inline distB="19050" distT="19050" distL="19050" distR="19050">
                <wp:extent cx="1766888" cy="591741"/>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6888" cy="59174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hd w:fill="auto" w:val="clear"/>
      <w:jc w:val="both"/>
      <w:rPr>
        <w:rFonts w:ascii="Arial" w:cs="Arial" w:eastAsia="Arial" w:hAnsi="Arial"/>
        <w:i w:val="1"/>
        <w:color w:val="98984b"/>
        <w:sz w:val="20"/>
        <w:szCs w:val="20"/>
      </w:rPr>
    </w:pPr>
    <w:r w:rsidDel="00000000" w:rsidR="00000000" w:rsidRPr="00000000">
      <w:rPr>
        <w:rtl w:val="0"/>
      </w:rPr>
    </w:r>
  </w:p>
  <w:tbl>
    <w:tblPr>
      <w:tblStyle w:val="Table6"/>
      <w:tblW w:w="8516.0" w:type="dxa"/>
      <w:jc w:val="left"/>
      <w:tblInd w:w="0.0" w:type="pct"/>
      <w:tblLayout w:type="fixed"/>
      <w:tblLook w:val="0600"/>
    </w:tblPr>
    <w:tblGrid>
      <w:gridCol w:w="8516"/>
      <w:tblGridChange w:id="0">
        <w:tblGrid>
          <w:gridCol w:w="8516"/>
        </w:tblGrid>
      </w:tblGridChange>
    </w:tblGrid>
    <w:tr>
      <w:trPr>
        <w:trHeight w:val="120" w:hRule="atLeast"/>
      </w:trPr>
      <w:tc>
        <w:tcPr>
          <w:shd w:fill="auto" w:val="clear"/>
          <w:tcMar>
            <w:top w:w="100.0" w:type="dxa"/>
            <w:left w:w="0.0" w:type="dxa"/>
            <w:bottom w:w="100.0" w:type="dxa"/>
            <w:right w:w="0.0" w:type="dxa"/>
          </w:tcMar>
          <w:vAlign w:val="center"/>
        </w:tcPr>
        <w:p w:rsidR="00000000" w:rsidDel="00000000" w:rsidP="00000000" w:rsidRDefault="00000000" w:rsidRPr="00000000" w14:paraId="00000047">
          <w:pPr>
            <w:rPr>
              <w:rFonts w:ascii="Arial" w:cs="Arial" w:eastAsia="Arial" w:hAnsi="Arial"/>
              <w:i w:val="1"/>
              <w:color w:val="98984b"/>
              <w:sz w:val="18"/>
              <w:szCs w:val="18"/>
            </w:rPr>
          </w:pPr>
          <w:hyperlink r:id="rId2">
            <w:r w:rsidDel="00000000" w:rsidR="00000000" w:rsidRPr="00000000">
              <w:rPr>
                <w:rFonts w:ascii="Arial" w:cs="Arial" w:eastAsia="Arial" w:hAnsi="Arial"/>
                <w:color w:val="1155cc"/>
                <w:sz w:val="18"/>
                <w:szCs w:val="18"/>
                <w:u w:val="single"/>
              </w:rPr>
              <w:drawing>
                <wp:inline distB="19050" distT="19050" distL="19050" distR="19050">
                  <wp:extent cx="5410200" cy="38100"/>
                  <wp:effectExtent b="0" l="0" r="0" t="0"/>
                  <wp:docPr id="1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410200" cy="381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i w:val="1"/>
        <w:color w:val="98984b"/>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0"/>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aea21.org" TargetMode="Externa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aea21.org" TargetMode="External"/><Relationship Id="rId2" Type="http://schemas.openxmlformats.org/officeDocument/2006/relationships/image" Target="media/image2.png"/><Relationship Id="rId3" Type="http://schemas.openxmlformats.org/officeDocument/2006/relationships/hyperlink" Target="mailto:info@gaea21.org" TargetMode="External"/><Relationship Id="rId4" Type="http://schemas.openxmlformats.org/officeDocument/2006/relationships/hyperlink" Target="http://www.gaea21.org" TargetMode="External"/><Relationship Id="rId5" Type="http://schemas.openxmlformats.org/officeDocument/2006/relationships/hyperlink" Target="http://www.gaea21.org" TargetMode="External"/><Relationship Id="rId6" Type="http://schemas.openxmlformats.org/officeDocument/2006/relationships/hyperlink" Target="http://www.gaea21.org" TargetMode="External"/><Relationship Id="rId7" Type="http://schemas.openxmlformats.org/officeDocument/2006/relationships/hyperlink" Target="http://www.gaea21.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aea21.org" TargetMode="External"/><Relationship Id="rId2" Type="http://schemas.openxmlformats.org/officeDocument/2006/relationships/image" Target="media/image1.png"/><Relationship Id="rId3" Type="http://schemas.openxmlformats.org/officeDocument/2006/relationships/hyperlink" Target="http://www.gaea21.org"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gaea21.org" TargetMode="External"/><Relationship Id="rId2" Type="http://schemas.openxmlformats.org/officeDocument/2006/relationships/image" Target="media/image1.png"/><Relationship Id="rId3" Type="http://schemas.openxmlformats.org/officeDocument/2006/relationships/hyperlink" Target="http://www.gaea21.org"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aea21.org"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gYL5V4OH7bwE2H62dC0fU5Aw6Q==">AMUW2mWUr7bc77YXfJWWoGIsjZcsIab0U0QqbssbBh8P4Hdgz8BLRsLGiAov+B2Fe6D+CVIsNT5pl1H7vYmdNlw3z6+10tD3NCvPR7g1ZaK6Zy+K0KuW/GnbW3I+z6Vc0YwLPcQMPKAw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