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Référence: MG03</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spacing w:after="60" w:line="280" w:lineRule="auto"/>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Macro-économie</w:t>
      </w:r>
    </w:p>
    <w:p w:rsidR="00000000" w:rsidDel="00000000" w:rsidP="00000000" w:rsidRDefault="00000000" w:rsidRPr="00000000" w14:paraId="00000005">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sa stratégie de stimulation du changement du comportement des individus, entreprises, administrations et organisations, le programme Sustainability-Club développe divers projets et sous-projets. L’objectif de ce groupe d’experts est de calculer les impacts sociaux, économiques et environnementaux des actions de Gaea pour établir un équilibre Win/Win entre l'entité (entreprise, école ou administration) et l'environnement tout en gagnant en bien-être de ses collaborateurs et en profitabilité.</w:t>
      </w:r>
    </w:p>
    <w:p w:rsidR="00000000" w:rsidDel="00000000" w:rsidP="00000000" w:rsidRDefault="00000000" w:rsidRPr="00000000" w14:paraId="00000007">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groupe Macroéconomie est un sous-projet constitué d’experts en économie ayant pour objectif d’analyser la partie impacts économiques.</w:t>
      </w:r>
    </w:p>
    <w:p w:rsidR="00000000" w:rsidDel="00000000" w:rsidP="00000000" w:rsidRDefault="00000000" w:rsidRPr="00000000" w14:paraId="00000008">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Il s’agit donc d’un projet support qui permettra de collecter les données macroéconomiques et d’analyser  leurs  impacts en termes de durabilité à l'échelle nationale, régionale et mondiale. Ce projet se penche également sur les conséquences macroéconomiques des relations économiques unilatérales, bilatérales ou multilatérales sur l’environnement.</w:t>
      </w:r>
    </w:p>
    <w:p w:rsidR="00000000" w:rsidDel="00000000" w:rsidP="00000000" w:rsidRDefault="00000000" w:rsidRPr="00000000" w14:paraId="00000009">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Par conséquent, le projet consistera à trouver les indicateurs idéals permettant d’établir une comparaison entre villes, régions, pays en matière de durabilité. Le but derrière cette recherche est d’amener les populations et décideurs politico-économiques de revoir leurs actions par rapport à l’application du développement durable et à la sauvegarde de  l’environnement dans leurs zones géographiques.</w:t>
      </w:r>
    </w:p>
    <w:p w:rsidR="00000000" w:rsidDel="00000000" w:rsidP="00000000" w:rsidRDefault="00000000" w:rsidRPr="00000000" w14:paraId="0000000A">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Pour finir, le projet macroéconomique va permettre aux populations et décideurs politico-économiques de mieux orienter leurs actions en faveur du développement durable et de la lutte contre le changement climatique.  Ainsi, ce projet pourrait être une feuille de route vers les villes, régions ou pays durables.</w:t>
      </w:r>
    </w:p>
    <w:p w:rsidR="00000000" w:rsidDel="00000000" w:rsidP="00000000" w:rsidRDefault="00000000" w:rsidRPr="00000000" w14:paraId="0000000B">
      <w:pPr>
        <w:widowControl w:val="1"/>
        <w:jc w:val="cente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C">
      <w:pPr>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Mission</w:t>
      </w:r>
    </w:p>
    <w:p w:rsidR="00000000" w:rsidDel="00000000" w:rsidP="00000000" w:rsidRDefault="00000000" w:rsidRPr="00000000" w14:paraId="0000000F">
      <w:pPr>
        <w:widowControl w:val="1"/>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0">
      <w:pPr>
        <w:widowControl w:val="1"/>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1">
      <w:pPr>
        <w:widowControl w:val="1"/>
        <w:ind w:left="720" w:firstLine="0"/>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Ce projet se penche sur les conséquences macroéconomiques des relations économiques unilatérales, bilatérales ou multilatérales sur l’environnement.</w:t>
      </w:r>
    </w:p>
    <w:p w:rsidR="00000000" w:rsidDel="00000000" w:rsidP="00000000" w:rsidRDefault="00000000" w:rsidRPr="00000000" w14:paraId="00000012">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60" w:line="28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4">
      <w:pPr>
        <w:spacing w:line="276" w:lineRule="auto"/>
        <w:ind w:right="-40.866141732282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Dans le cadre de ce projet, nous recherchons un(e)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line="280" w:lineRule="auto"/>
        <w:ind w:right="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60" w:line="280" w:lineRule="auto"/>
        <w:ind w:right="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60" w:line="280" w:lineRule="auto"/>
        <w:jc w:val="center"/>
        <w:rPr>
          <w:rFonts w:ascii="Arial" w:cs="Arial" w:eastAsia="Arial" w:hAnsi="Arial"/>
          <w:b w:val="1"/>
          <w:color w:val="98984b"/>
          <w:sz w:val="40"/>
          <w:szCs w:val="40"/>
        </w:rPr>
      </w:pPr>
      <w:r w:rsidDel="00000000" w:rsidR="00000000" w:rsidRPr="00000000">
        <w:rPr>
          <w:rFonts w:ascii="Arial" w:cs="Arial" w:eastAsia="Arial" w:hAnsi="Arial"/>
          <w:b w:val="1"/>
          <w:color w:val="98984b"/>
          <w:sz w:val="36"/>
          <w:szCs w:val="36"/>
          <w:rtl w:val="0"/>
        </w:rPr>
        <w:t xml:space="preserve"> </w:t>
      </w:r>
      <w:r w:rsidDel="00000000" w:rsidR="00000000" w:rsidRPr="00000000">
        <w:rPr>
          <w:rFonts w:ascii="Arial" w:cs="Arial" w:eastAsia="Arial" w:hAnsi="Arial"/>
          <w:b w:val="1"/>
          <w:color w:val="98984b"/>
          <w:sz w:val="40"/>
          <w:szCs w:val="40"/>
          <w:rtl w:val="0"/>
        </w:rPr>
        <w:t xml:space="preserve">Economiste (H/F)</w:t>
      </w:r>
    </w:p>
    <w:p w:rsidR="00000000" w:rsidDel="00000000" w:rsidP="00000000" w:rsidRDefault="00000000" w:rsidRPr="00000000" w14:paraId="00000018">
      <w:pPr>
        <w:spacing w:after="60" w:line="280" w:lineRule="auto"/>
        <w:jc w:val="center"/>
        <w:rPr>
          <w:rFonts w:ascii="Arial" w:cs="Arial" w:eastAsia="Arial" w:hAnsi="Arial"/>
          <w:b w:val="1"/>
          <w:color w:val="98984b"/>
          <w:sz w:val="40"/>
          <w:szCs w:val="40"/>
        </w:rPr>
      </w:pPr>
      <w:r w:rsidDel="00000000" w:rsidR="00000000" w:rsidRPr="00000000">
        <w:rPr>
          <w:rtl w:val="0"/>
        </w:rPr>
      </w:r>
    </w:p>
    <w:p w:rsidR="00000000" w:rsidDel="00000000" w:rsidP="00000000" w:rsidRDefault="00000000" w:rsidRPr="00000000" w14:paraId="00000019">
      <w:pPr>
        <w:spacing w:after="60" w:line="280" w:lineRule="auto"/>
        <w:jc w:val="center"/>
        <w:rPr>
          <w:rFonts w:ascii="Arial" w:cs="Arial" w:eastAsia="Arial" w:hAnsi="Arial"/>
          <w:b w:val="1"/>
          <w:color w:val="98984b"/>
          <w:sz w:val="40"/>
          <w:szCs w:val="40"/>
        </w:rPr>
      </w:pPr>
      <w:r w:rsidDel="00000000" w:rsidR="00000000" w:rsidRPr="00000000">
        <w:rPr>
          <w:rtl w:val="0"/>
        </w:rPr>
      </w:r>
    </w:p>
    <w:p w:rsidR="00000000" w:rsidDel="00000000" w:rsidP="00000000" w:rsidRDefault="00000000" w:rsidRPr="00000000" w14:paraId="0000001A">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Vous serez amené(e) à :</w:t>
      </w:r>
      <w:r w:rsidDel="00000000" w:rsidR="00000000" w:rsidRPr="00000000">
        <w:rPr>
          <w:rtl w:val="0"/>
        </w:rPr>
      </w:r>
    </w:p>
    <w:p w:rsidR="00000000" w:rsidDel="00000000" w:rsidP="00000000" w:rsidRDefault="00000000" w:rsidRPr="00000000" w14:paraId="0000001C">
      <w:pPr>
        <w:widowControl w:val="1"/>
        <w:ind w:lef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D">
      <w:pPr>
        <w:numPr>
          <w:ilvl w:val="0"/>
          <w:numId w:val="3"/>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Réaliser des études d'impacts économiques en utilisant une méthode coût-bénéfice, suivant les demandes d'autres projets de gaea21 et </w:t>
      </w:r>
      <w:r w:rsidDel="00000000" w:rsidR="00000000" w:rsidRPr="00000000">
        <w:rPr>
          <w:rFonts w:ascii="Calibri" w:cs="Calibri" w:eastAsia="Calibri" w:hAnsi="Calibri"/>
          <w:sz w:val="22"/>
          <w:szCs w:val="22"/>
          <w:rtl w:val="0"/>
        </w:rPr>
        <w:t xml:space="preserve">conclure sur la pertinence des projets gaea21;</w:t>
      </w:r>
      <w:r w:rsidDel="00000000" w:rsidR="00000000" w:rsidRPr="00000000">
        <w:rPr>
          <w:rtl w:val="0"/>
        </w:rPr>
      </w:r>
    </w:p>
    <w:p w:rsidR="00000000" w:rsidDel="00000000" w:rsidP="00000000" w:rsidRDefault="00000000" w:rsidRPr="00000000" w14:paraId="0000001E">
      <w:pPr>
        <w:numPr>
          <w:ilvl w:val="0"/>
          <w:numId w:val="3"/>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Mener</w:t>
      </w:r>
      <w:r w:rsidDel="00000000" w:rsidR="00000000" w:rsidRPr="00000000">
        <w:rPr>
          <w:rFonts w:ascii="Calibri" w:cs="Calibri" w:eastAsia="Calibri" w:hAnsi="Calibri"/>
          <w:sz w:val="22"/>
          <w:szCs w:val="22"/>
          <w:highlight w:val="white"/>
          <w:rtl w:val="0"/>
        </w:rPr>
        <w:t xml:space="preserve"> une étude d'impacts complète sur un domaine relatif à la macro-économie: économie du développement régional, consommation responsable, innovation en agriculture et développement durable, investissement dans les projets verts, inflation dans l’économie Suisse et  création d’emplois verts;</w:t>
      </w:r>
      <w:r w:rsidDel="00000000" w:rsidR="00000000" w:rsidRPr="00000000">
        <w:rPr>
          <w:rtl w:val="0"/>
        </w:rPr>
      </w:r>
    </w:p>
    <w:p w:rsidR="00000000" w:rsidDel="00000000" w:rsidP="00000000" w:rsidRDefault="00000000" w:rsidRPr="00000000" w14:paraId="0000001F">
      <w:pPr>
        <w:numPr>
          <w:ilvl w:val="0"/>
          <w:numId w:val="3"/>
        </w:numPr>
        <w:spacing w:line="343.2"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Vous former à l'analyse de cycle de vie et réaliser une ACV pour un produit choisi, ainsi que la possibilité de vous former au logiciel openLCA</w:t>
      </w:r>
      <w:r w:rsidDel="00000000" w:rsidR="00000000" w:rsidRPr="00000000">
        <w:rPr>
          <w:rtl w:val="0"/>
        </w:rPr>
      </w:r>
    </w:p>
    <w:p w:rsidR="00000000" w:rsidDel="00000000" w:rsidP="00000000" w:rsidRDefault="00000000" w:rsidRPr="00000000" w14:paraId="00000020">
      <w:pPr>
        <w:spacing w:line="276" w:lineRule="auto"/>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1">
      <w:pPr>
        <w:spacing w:line="276" w:lineRule="auto"/>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2">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Nous vous offrons : </w:t>
      </w:r>
    </w:p>
    <w:p w:rsidR="00000000" w:rsidDel="00000000" w:rsidP="00000000" w:rsidRDefault="00000000" w:rsidRPr="00000000" w14:paraId="00000023">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et d’acquérir des compétences grâce à une expérience concrète dans votre domaine d’étude;</w:t>
      </w:r>
    </w:p>
    <w:p w:rsidR="00000000" w:rsidDel="00000000" w:rsidP="00000000" w:rsidRDefault="00000000" w:rsidRPr="00000000" w14:paraId="00000024">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formation à des méthodes et outils de travail professionnalisants pour vous permettre d’augmenter votre efficacité et vos compétences;</w:t>
      </w:r>
    </w:p>
    <w:p w:rsidR="00000000" w:rsidDel="00000000" w:rsidP="00000000" w:rsidRDefault="00000000" w:rsidRPr="00000000" w14:paraId="00000025">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poste à responsabilités avec une large autonomie;</w:t>
      </w:r>
    </w:p>
    <w:p w:rsidR="00000000" w:rsidDel="00000000" w:rsidP="00000000" w:rsidRDefault="00000000" w:rsidRPr="00000000" w14:paraId="00000026">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travail dans une équipe dynamique et pluridisciplinaire dans vos domaines d’intérêt;</w:t>
      </w:r>
    </w:p>
    <w:p w:rsidR="00000000" w:rsidDel="00000000" w:rsidP="00000000" w:rsidRDefault="00000000" w:rsidRPr="00000000" w14:paraId="00000027">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expertise dans le domaine du développement durable;</w:t>
      </w:r>
    </w:p>
    <w:p w:rsidR="00000000" w:rsidDel="00000000" w:rsidP="00000000" w:rsidRDefault="00000000" w:rsidRPr="00000000" w14:paraId="00000028">
      <w:pPr>
        <w:numPr>
          <w:ilvl w:val="0"/>
          <w:numId w:val="2"/>
        </w:numPr>
        <w:spacing w:line="343.2"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Une formation sur l’Analyse de Cycle de Vie menant à l’obtention d’un certificat à la fin de la période de stage;</w:t>
      </w:r>
      <w:r w:rsidDel="00000000" w:rsidR="00000000" w:rsidRPr="00000000">
        <w:rPr>
          <w:rtl w:val="0"/>
        </w:rPr>
      </w:r>
    </w:p>
    <w:p w:rsidR="00000000" w:rsidDel="00000000" w:rsidP="00000000" w:rsidRDefault="00000000" w:rsidRPr="00000000" w14:paraId="00000029">
      <w:pPr>
        <w:numPr>
          <w:ilvl w:val="0"/>
          <w:numId w:val="2"/>
        </w:numPr>
        <w:spacing w:line="343.2"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Une formation au logiciel openLCA.</w:t>
      </w:r>
      <w:r w:rsidDel="00000000" w:rsidR="00000000" w:rsidRPr="00000000">
        <w:rPr>
          <w:rtl w:val="0"/>
        </w:rPr>
      </w:r>
    </w:p>
    <w:p w:rsidR="00000000" w:rsidDel="00000000" w:rsidP="00000000" w:rsidRDefault="00000000" w:rsidRPr="00000000" w14:paraId="0000002A">
      <w:pPr>
        <w:spacing w:line="343.2"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343.2"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Votre profil pour avancer ensemble  :</w:t>
      </w:r>
    </w:p>
    <w:p w:rsidR="00000000" w:rsidDel="00000000" w:rsidP="00000000" w:rsidRDefault="00000000" w:rsidRPr="00000000" w14:paraId="0000002C">
      <w:pPr>
        <w:numPr>
          <w:ilvl w:val="0"/>
          <w:numId w:val="1"/>
        </w:numPr>
        <w:spacing w:line="343.2"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Bachelor ou de Master (achevé ou en cours) dans un branche de l’économie ou  avec parcours en économie appliquée, en statistiques et traitement de données, en politiques énergétiques et environnementales ou encore une formation jugée équivalente;</w:t>
      </w:r>
    </w:p>
    <w:p w:rsidR="00000000" w:rsidDel="00000000" w:rsidP="00000000" w:rsidRDefault="00000000" w:rsidRPr="00000000" w14:paraId="0000002D">
      <w:pPr>
        <w:numPr>
          <w:ilvl w:val="0"/>
          <w:numId w:val="1"/>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vous intéressez aux différentes applications du développement durable et à l’économie circulaire</w:t>
      </w:r>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02E">
      <w:pPr>
        <w:numPr>
          <w:ilvl w:val="0"/>
          <w:numId w:val="1"/>
        </w:numPr>
        <w:spacing w:line="343.2" w:lineRule="auto"/>
        <w:ind w:left="720" w:hanging="360"/>
        <w:jc w:val="both"/>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Vous êtes à l’aise avec les logiciels bureautiques;</w:t>
      </w:r>
      <w:r w:rsidDel="00000000" w:rsidR="00000000" w:rsidRPr="00000000">
        <w:rPr>
          <w:rtl w:val="0"/>
        </w:rPr>
      </w:r>
    </w:p>
    <w:p w:rsidR="00000000" w:rsidDel="00000000" w:rsidP="00000000" w:rsidRDefault="00000000" w:rsidRPr="00000000" w14:paraId="0000002F">
      <w:pPr>
        <w:numPr>
          <w:ilvl w:val="0"/>
          <w:numId w:val="1"/>
        </w:numPr>
        <w:spacing w:line="343.2"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Vous</w:t>
      </w:r>
      <w:r w:rsidDel="00000000" w:rsidR="00000000" w:rsidRPr="00000000">
        <w:rPr>
          <w:rFonts w:ascii="Calibri" w:cs="Calibri" w:eastAsia="Calibri" w:hAnsi="Calibri"/>
          <w:sz w:val="22"/>
          <w:szCs w:val="22"/>
          <w:highlight w:val="white"/>
          <w:rtl w:val="0"/>
        </w:rPr>
        <w:t xml:space="preserve"> disposez de capacités de recherche, d’analyse et de synthèse;</w:t>
      </w:r>
    </w:p>
    <w:p w:rsidR="00000000" w:rsidDel="00000000" w:rsidP="00000000" w:rsidRDefault="00000000" w:rsidRPr="00000000" w14:paraId="00000030">
      <w:pPr>
        <w:numPr>
          <w:ilvl w:val="0"/>
          <w:numId w:val="1"/>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Vous êtes organisé(e) et curieux(se), autonome et proactif avec un sens des responsabilités;</w:t>
      </w:r>
      <w:r w:rsidDel="00000000" w:rsidR="00000000" w:rsidRPr="00000000">
        <w:rPr>
          <w:rtl w:val="0"/>
        </w:rPr>
      </w:r>
    </w:p>
    <w:p w:rsidR="00000000" w:rsidDel="00000000" w:rsidP="00000000" w:rsidRDefault="00000000" w:rsidRPr="00000000" w14:paraId="00000031">
      <w:pPr>
        <w:numPr>
          <w:ilvl w:val="0"/>
          <w:numId w:val="1"/>
        </w:numPr>
        <w:spacing w:line="343.2" w:lineRule="auto"/>
        <w:ind w:left="720" w:hanging="360"/>
        <w:jc w:val="both"/>
        <w:rPr>
          <w:rFonts w:ascii="Calibri" w:cs="Calibri" w:eastAsia="Calibri" w:hAnsi="Calibri"/>
          <w:highlight w:val="white"/>
        </w:rPr>
      </w:pPr>
      <w:r w:rsidDel="00000000" w:rsidR="00000000" w:rsidRPr="00000000">
        <w:rPr>
          <w:rFonts w:ascii="Calibri" w:cs="Calibri" w:eastAsia="Calibri" w:hAnsi="Calibri"/>
          <w:sz w:val="22"/>
          <w:szCs w:val="22"/>
          <w:rtl w:val="0"/>
        </w:rPr>
        <w:t xml:space="preserve">Niveau de langue Français B2 minimum requis (anglais est un plus).</w:t>
      </w:r>
      <w:r w:rsidDel="00000000" w:rsidR="00000000" w:rsidRPr="00000000">
        <w:rPr>
          <w:rtl w:val="0"/>
        </w:rPr>
      </w:r>
    </w:p>
    <w:p w:rsidR="00000000" w:rsidDel="00000000" w:rsidP="00000000" w:rsidRDefault="00000000" w:rsidRPr="00000000" w14:paraId="00000032">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after="6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 modalités du poste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Début du stage : immédiatement ou à convenir</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Arial" w:cs="Arial" w:eastAsia="Arial" w:hAnsi="Arial"/>
          <w:i w:val="0"/>
          <w:smallCaps w:val="0"/>
          <w:strike w:val="0"/>
          <w:color w:val="000000"/>
          <w:sz w:val="22"/>
          <w:szCs w:val="22"/>
          <w:shd w:fill="auto" w:val="clear"/>
          <w:vertAlign w:val="baseline"/>
        </w:rPr>
      </w:pPr>
      <w:bookmarkStart w:colFirst="0" w:colLast="0" w:name="_heading=h.3znysh7" w:id="3"/>
      <w:bookmarkEnd w:id="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Durée du stage : </w:t>
      </w:r>
      <w:r w:rsidDel="00000000" w:rsidR="00000000" w:rsidRPr="00000000">
        <w:rPr>
          <w:rFonts w:ascii="Calibri" w:cs="Calibri" w:eastAsia="Calibri" w:hAnsi="Calibri"/>
          <w:sz w:val="22"/>
          <w:szCs w:val="22"/>
          <w:rtl w:val="0"/>
        </w:rPr>
        <w:t xml:space="preserve">6 mois 50% ou 3 mois 80%,</w:t>
      </w:r>
      <w:r w:rsidDel="00000000" w:rsidR="00000000" w:rsidRPr="00000000">
        <w:rPr>
          <w:rFonts w:ascii="Calibri" w:cs="Calibri" w:eastAsia="Calibri" w:hAnsi="Calibri"/>
          <w:sz w:val="22"/>
          <w:szCs w:val="22"/>
          <w:highlight w:val="white"/>
          <w:rtl w:val="0"/>
        </w:rPr>
        <w:t xml:space="preserve">ou micro contrats pour des commandes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7">
      <w:pPr>
        <w:numPr>
          <w:ilvl w:val="0"/>
          <w:numId w:val="4"/>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travail se fait totalement à distance (télétravail);</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Horaires:  </w:t>
      </w:r>
      <w:r w:rsidDel="00000000" w:rsidR="00000000" w:rsidRPr="00000000">
        <w:rPr>
          <w:rFonts w:ascii="Calibri" w:cs="Calibri" w:eastAsia="Calibri" w:hAnsi="Calibri"/>
          <w:sz w:val="22"/>
          <w:szCs w:val="22"/>
          <w:rtl w:val="0"/>
        </w:rPr>
        <w:t xml:space="preserve">à définir en fonction de vos disponibilités;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 stage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n’est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pas rémunéré</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mais nous certifions les compétences professionnelles développées et acquises par un certificat.</w:t>
      </w:r>
      <w:r w:rsidDel="00000000" w:rsidR="00000000" w:rsidRPr="00000000">
        <w:rPr>
          <w:rtl w:val="0"/>
        </w:rPr>
      </w:r>
    </w:p>
    <w:p w:rsidR="00000000" w:rsidDel="00000000" w:rsidP="00000000" w:rsidRDefault="00000000" w:rsidRPr="00000000" w14:paraId="0000003A">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after="60" w:line="280" w:lineRule="auto"/>
        <w:ind w:right="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vous vous sentez concerné(e) par le développement durable et que vous avez envie de gérer des projets de manière autonome, n’hésitez pas à nous faire parvenir votre dossier de candidature complet (CV et lettre de motivation) par courrier électronique à l’adresse suivante : </w:t>
      </w:r>
      <w:hyperlink r:id="rId7">
        <w:r w:rsidDel="00000000" w:rsidR="00000000" w:rsidRPr="00000000">
          <w:rPr>
            <w:rFonts w:ascii="Calibri" w:cs="Calibri" w:eastAsia="Calibri" w:hAnsi="Calibri"/>
            <w:color w:val="0000ff"/>
            <w:sz w:val="22"/>
            <w:szCs w:val="22"/>
            <w:u w:val="single"/>
            <w:rtl w:val="0"/>
          </w:rPr>
          <w:t xml:space="preserve">hr@gaea21.org</w:t>
        </w:r>
      </w:hyperlink>
      <w:r w:rsidDel="00000000" w:rsidR="00000000" w:rsidRPr="00000000">
        <w:rPr>
          <w:rFonts w:ascii="Calibri" w:cs="Calibri" w:eastAsia="Calibri" w:hAnsi="Calibri"/>
          <w:sz w:val="22"/>
          <w:szCs w:val="22"/>
          <w:rtl w:val="0"/>
        </w:rPr>
        <w:t xml:space="preserve"> en précisant la référence de l’annonce.</w:t>
      </w:r>
    </w:p>
    <w:p w:rsidR="00000000" w:rsidDel="00000000" w:rsidP="00000000" w:rsidRDefault="00000000" w:rsidRPr="00000000" w14:paraId="0000003C">
      <w:pPr>
        <w:spacing w:after="60" w:line="280" w:lineRule="auto"/>
        <w:ind w:right="74"/>
        <w:jc w:val="both"/>
        <w:rPr>
          <w:rFonts w:ascii="Calibri" w:cs="Calibri" w:eastAsia="Calibri" w:hAnsi="Calibri"/>
          <w:b w:val="1"/>
          <w:color w:val="1155cc"/>
          <w:sz w:val="22"/>
          <w:szCs w:val="22"/>
          <w:u w:val="single"/>
        </w:rPr>
      </w:pPr>
      <w:r w:rsidDel="00000000" w:rsidR="00000000" w:rsidRPr="00000000">
        <w:rPr>
          <w:rFonts w:ascii="Calibri" w:cs="Calibri" w:eastAsia="Calibri" w:hAnsi="Calibri"/>
          <w:b w:val="1"/>
          <w:sz w:val="22"/>
          <w:szCs w:val="22"/>
          <w:rtl w:val="0"/>
        </w:rPr>
        <w:t xml:space="preserve">Afin de mieux connaître notre association, vous avez la possibilité de vous rendre sur notre site internet : </w:t>
      </w:r>
      <w:hyperlink r:id="rId8">
        <w:r w:rsidDel="00000000" w:rsidR="00000000" w:rsidRPr="00000000">
          <w:rPr>
            <w:rFonts w:ascii="Calibri" w:cs="Calibri" w:eastAsia="Calibri" w:hAnsi="Calibri"/>
            <w:b w:val="1"/>
            <w:color w:val="0000ff"/>
            <w:sz w:val="22"/>
            <w:szCs w:val="22"/>
            <w:u w:val="single"/>
            <w:rtl w:val="0"/>
          </w:rPr>
          <w:t xml:space="preserve">www.gaea21.org</w:t>
        </w:r>
      </w:hyperlink>
      <w:r w:rsidDel="00000000" w:rsidR="00000000" w:rsidRPr="00000000">
        <w:rPr>
          <w:rtl w:val="0"/>
        </w:rPr>
      </w:r>
    </w:p>
    <w:p w:rsidR="00000000" w:rsidDel="00000000" w:rsidP="00000000" w:rsidRDefault="00000000" w:rsidRPr="00000000" w14:paraId="0000003D">
      <w:pPr>
        <w:spacing w:after="60" w:line="280" w:lineRule="auto"/>
        <w:ind w:right="74"/>
        <w:jc w:val="both"/>
        <w:rPr>
          <w:rFonts w:ascii="Calibri" w:cs="Calibri" w:eastAsia="Calibri" w:hAnsi="Calibri"/>
          <w:b w:val="1"/>
          <w:color w:val="1155cc"/>
          <w:sz w:val="22"/>
          <w:szCs w:val="22"/>
          <w:u w:val="single"/>
        </w:rPr>
      </w:pPr>
      <w:r w:rsidDel="00000000" w:rsidR="00000000" w:rsidRPr="00000000">
        <w:rPr>
          <w:rtl w:val="0"/>
        </w:rPr>
      </w:r>
    </w:p>
    <w:p w:rsidR="00000000" w:rsidDel="00000000" w:rsidP="00000000" w:rsidRDefault="00000000" w:rsidRPr="00000000" w14:paraId="0000003E">
      <w:pPr>
        <w:spacing w:after="60" w:line="280" w:lineRule="auto"/>
        <w:ind w:right="74"/>
        <w:jc w:val="both"/>
        <w:rPr>
          <w:rFonts w:ascii="Calibri" w:cs="Calibri" w:eastAsia="Calibri" w:hAnsi="Calibri"/>
          <w:b w:val="1"/>
          <w:color w:val="1155cc"/>
          <w:sz w:val="22"/>
          <w:szCs w:val="22"/>
          <w:u w:val="singl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STAGE EN TÉLÉTRAVAIL</w:t>
      </w:r>
    </w:p>
    <w:p w:rsidR="00000000" w:rsidDel="00000000" w:rsidP="00000000" w:rsidRDefault="00000000" w:rsidRPr="00000000" w14:paraId="00000040">
      <w:pPr>
        <w:jc w:val="center"/>
        <w:rPr>
          <w:rFonts w:ascii="Calibri" w:cs="Calibri" w:eastAsia="Calibri" w:hAnsi="Calibri"/>
          <w:b w:val="1"/>
          <w:color w:val="212121"/>
          <w:sz w:val="22"/>
          <w:szCs w:val="22"/>
          <w:highlight w:val="white"/>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Depuis 2005 gaea21 forme et coache des étudiants ainsi que des personnes en reconversion professionnelle, en contribuant à leur développement professionnel et personnel. </w:t>
      </w:r>
    </w:p>
    <w:p w:rsidR="00000000" w:rsidDel="00000000" w:rsidP="00000000" w:rsidRDefault="00000000" w:rsidRPr="00000000" w14:paraId="00000042">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contexte économique actuel, où le télétravail devient un atout, gaea21 offre la possibilité de se former en gestion de projet et management en développement durable. Elle est un acteur majeur dans la promotion et la valorisation des métiers verts de demain.</w:t>
      </w:r>
    </w:p>
    <w:p w:rsidR="00000000" w:rsidDel="00000000" w:rsidP="00000000" w:rsidRDefault="00000000" w:rsidRPr="00000000" w14:paraId="00000043">
      <w:pPr>
        <w:widowControl w:val="1"/>
        <w:spacing w:line="276" w:lineRule="auto"/>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44">
      <w:pPr>
        <w:spacing w:after="60" w:line="280" w:lineRule="auto"/>
        <w:ind w:right="74"/>
        <w:jc w:val="both"/>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45">
      <w:pPr>
        <w:tabs>
          <w:tab w:val="center" w:pos="4536"/>
          <w:tab w:val="right" w:pos="9072"/>
        </w:tabs>
        <w:rPr>
          <w:rFonts w:ascii="Arial" w:cs="Arial" w:eastAsia="Arial" w:hAnsi="Arial"/>
          <w:sz w:val="22"/>
          <w:szCs w:val="22"/>
        </w:rPr>
      </w:pPr>
      <w:r w:rsidDel="00000000" w:rsidR="00000000" w:rsidRPr="00000000">
        <w:rPr>
          <w:rtl w:val="0"/>
        </w:rPr>
      </w:r>
    </w:p>
    <w:tbl>
      <w:tblPr>
        <w:tblStyle w:val="Table1"/>
        <w:tblW w:w="8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c>
          <w:tcPr>
            <w:tcBorders>
              <w:top w:color="98984b" w:space="0" w:sz="18" w:val="single"/>
              <w:left w:color="ffffff" w:space="0" w:sz="8" w:val="single"/>
              <w:bottom w:color="98984b" w:space="0" w:sz="1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1"/>
              <w:jc w:val="both"/>
              <w:rPr>
                <w:rFonts w:ascii="Calibri" w:cs="Calibri" w:eastAsia="Calibri" w:hAnsi="Calibri"/>
                <w:i w:val="1"/>
                <w:color w:val="98984b"/>
                <w:sz w:val="22"/>
                <w:szCs w:val="22"/>
              </w:rPr>
            </w:pPr>
            <w:r w:rsidDel="00000000" w:rsidR="00000000" w:rsidRPr="00000000">
              <w:rPr>
                <w:rFonts w:ascii="Calibri" w:cs="Calibri" w:eastAsia="Calibri" w:hAnsi="Calibri"/>
                <w:i w:val="1"/>
                <w:color w:val="98984b"/>
                <w:sz w:val="22"/>
                <w:szCs w:val="22"/>
                <w:rtl w:val="0"/>
              </w:rPr>
              <w:t xml:space="preserve">gaea21 est un think tank, un centre de recherches appliquées en économie circulaire et économie verte, un organisme de post-formation, une interface et une plateforme de facilitation et de compétences pluridisciplinaires qui crée des passerelles entre individus, entreprises privées, administrations. </w:t>
            </w:r>
          </w:p>
          <w:p w:rsidR="00000000" w:rsidDel="00000000" w:rsidP="00000000" w:rsidRDefault="00000000" w:rsidRPr="00000000" w14:paraId="00000047">
            <w:pPr>
              <w:widowControl w:val="1"/>
              <w:jc w:val="both"/>
              <w:rPr>
                <w:rFonts w:ascii="Calibri" w:cs="Calibri" w:eastAsia="Calibri" w:hAnsi="Calibri"/>
                <w:i w:val="1"/>
                <w:color w:val="98984b"/>
                <w:sz w:val="22"/>
                <w:szCs w:val="22"/>
              </w:rPr>
            </w:pPr>
            <w:r w:rsidDel="00000000" w:rsidR="00000000" w:rsidRPr="00000000">
              <w:rPr>
                <w:rFonts w:ascii="Calibri" w:cs="Calibri" w:eastAsia="Calibri" w:hAnsi="Calibri"/>
                <w:i w:val="1"/>
                <w:color w:val="98984b"/>
                <w:sz w:val="22"/>
                <w:szCs w:val="22"/>
                <w:rtl w:val="0"/>
              </w:rPr>
              <w:t xml:space="preserve">gaea21 développe des programmes sur mesure et des outils concrets et innovants articulés autour de la production et de la consommation responsable. Ces programmes ont pour impact de stimuler le changement de comportement des 3 acteurs précités. En ce sens, l’action de gaea21 est une mise en œuvre et une application de l’Agenda 21, signé par la Confédération helvétique.</w:t>
            </w:r>
          </w:p>
          <w:p w:rsidR="00000000" w:rsidDel="00000000" w:rsidP="00000000" w:rsidRDefault="00000000" w:rsidRPr="00000000" w14:paraId="00000048">
            <w:pPr>
              <w:jc w:val="both"/>
              <w:rPr>
                <w:rFonts w:ascii="Calibri" w:cs="Calibri" w:eastAsia="Calibri" w:hAnsi="Calibri"/>
                <w:i w:val="1"/>
                <w:color w:val="98984b"/>
                <w:sz w:val="20"/>
                <w:szCs w:val="20"/>
              </w:rPr>
            </w:pPr>
            <w:bookmarkStart w:colFirst="0" w:colLast="0" w:name="_heading=h.2et92p0" w:id="4"/>
            <w:bookmarkEnd w:id="4"/>
            <w:r w:rsidDel="00000000" w:rsidR="00000000" w:rsidRPr="00000000">
              <w:rPr>
                <w:rFonts w:ascii="Calibri" w:cs="Calibri" w:eastAsia="Calibri" w:hAnsi="Calibri"/>
                <w:i w:val="1"/>
                <w:color w:val="98984b"/>
                <w:sz w:val="22"/>
                <w:szCs w:val="22"/>
                <w:rtl w:val="0"/>
              </w:rPr>
              <w:t xml:space="preserve">gaea21 est aussi, fondamentalement un organisme de post-formation et une plateforme d’insertion et de réinsertion professionnelle. Notre taux d’insertion et de réinsertion se maintient entre 94% et 97% depuis 2007 pour plus de 1250 personnes passées dans notre organisation.</w:t>
            </w:r>
            <w:r w:rsidDel="00000000" w:rsidR="00000000" w:rsidRPr="00000000">
              <w:rPr>
                <w:rtl w:val="0"/>
              </w:rPr>
            </w:r>
          </w:p>
        </w:tc>
      </w:tr>
    </w:tbl>
    <w:p w:rsidR="00000000" w:rsidDel="00000000" w:rsidP="00000000" w:rsidRDefault="00000000" w:rsidRPr="00000000" w14:paraId="00000049">
      <w:pPr>
        <w:ind w:right="-40.8661417322827"/>
        <w:rPr>
          <w:rFonts w:ascii="Calibri" w:cs="Calibri" w:eastAsia="Calibri" w:hAnsi="Calibri"/>
          <w:color w:val="1155cc"/>
          <w:sz w:val="22"/>
          <w:szCs w:val="22"/>
          <w:u w:val="single"/>
        </w:rPr>
      </w:pPr>
      <w:r w:rsidDel="00000000" w:rsidR="00000000" w:rsidRPr="00000000">
        <w:rPr>
          <w:rtl w:val="0"/>
        </w:rPr>
      </w:r>
    </w:p>
    <w:sectPr>
      <w:headerReference r:id="rId9" w:type="default"/>
      <w:footerReference r:id="rId10" w:type="default"/>
      <w:pgSz w:h="16838" w:w="11906" w:orient="portrait"/>
      <w:pgMar w:bottom="1418" w:top="1418" w:left="1418" w:right="1418" w:header="270"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Calibri" w:cs="Calibri" w:eastAsia="Calibri" w:hAnsi="Calibri"/>
        <w:i w:val="1"/>
        <w:color w:val="98984b"/>
        <w:sz w:val="22"/>
        <w:szCs w:val="22"/>
      </w:rPr>
    </w:pPr>
    <w:r w:rsidDel="00000000" w:rsidR="00000000" w:rsidRPr="00000000">
      <w:rPr>
        <w:rtl w:val="0"/>
      </w:rPr>
    </w:r>
  </w:p>
  <w:tbl>
    <w:tblPr>
      <w:tblStyle w:val="Table2"/>
      <w:tblW w:w="7438.0" w:type="dxa"/>
      <w:jc w:val="center"/>
      <w:tblLayout w:type="fixed"/>
      <w:tblLook w:val="0600"/>
    </w:tblPr>
    <w:tblGrid>
      <w:gridCol w:w="7438"/>
      <w:tblGridChange w:id="0">
        <w:tblGrid>
          <w:gridCol w:w="7438"/>
        </w:tblGrid>
      </w:tblGridChange>
    </w:tblGrid>
    <w:tr>
      <w:tc>
        <w:tcPr>
          <w:shd w:fill="98984b" w:val="clea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gaea21</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Calibri" w:cs="Calibri" w:eastAsia="Calibri" w:hAnsi="Calibri"/>
              <w:sz w:val="18"/>
              <w:szCs w:val="18"/>
            </w:rPr>
          </w:pPr>
          <w:r w:rsidDel="00000000" w:rsidR="00000000" w:rsidRPr="00000000">
            <w:rPr>
              <w:rFonts w:ascii="Calibri" w:cs="Calibri" w:eastAsia="Calibri" w:hAnsi="Calibri"/>
              <w:color w:val="ffffff"/>
              <w:sz w:val="18"/>
              <w:szCs w:val="18"/>
              <w:rtl w:val="0"/>
            </w:rPr>
            <w:t xml:space="preserve">Avenue des Morgines 9, 1213 Petit-Lancy, Suisse / tél : 022 320 66 73  </w:t>
            <w:br w:type="textWrapping"/>
            <w:t xml:space="preserve">email : info@gaea21.org</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Calibri" w:cs="Calibri" w:eastAsia="Calibri" w:hAnsi="Calibri"/>
              <w:i w:val="1"/>
              <w:color w:val="98984b"/>
              <w:sz w:val="20"/>
              <w:szCs w:val="20"/>
            </w:rPr>
          </w:pPr>
          <w:r w:rsidDel="00000000" w:rsidR="00000000" w:rsidRPr="00000000">
            <w:rPr>
              <w:rFonts w:ascii="Calibri" w:cs="Calibri" w:eastAsia="Calibri" w:hAnsi="Calibri"/>
              <w:color w:val="ffffff"/>
              <w:sz w:val="18"/>
              <w:szCs w:val="18"/>
              <w:rtl w:val="0"/>
            </w:rPr>
            <w:t xml:space="preserve">Twitter : gaea21 tweet  Facebook : gaea21  LinkedIn : gaea21 /</w:t>
          </w:r>
          <w:hyperlink r:id="rId1">
            <w:r w:rsidDel="00000000" w:rsidR="00000000" w:rsidRPr="00000000">
              <w:rPr>
                <w:rFonts w:ascii="Calibri" w:cs="Calibri" w:eastAsia="Calibri" w:hAnsi="Calibri"/>
                <w:color w:val="ffffff"/>
                <w:sz w:val="18"/>
                <w:szCs w:val="18"/>
                <w:rtl w:val="0"/>
              </w:rPr>
              <w:t xml:space="preserve"> </w:t>
            </w:r>
          </w:hyperlink>
          <w:hyperlink r:id="rId2">
            <w:r w:rsidDel="00000000" w:rsidR="00000000" w:rsidRPr="00000000">
              <w:rPr>
                <w:rFonts w:ascii="Calibri" w:cs="Calibri" w:eastAsia="Calibri" w:hAnsi="Calibri"/>
                <w:color w:val="ffffff"/>
                <w:sz w:val="18"/>
                <w:szCs w:val="18"/>
                <w:u w:val="single"/>
                <w:rtl w:val="0"/>
              </w:rPr>
              <w:t xml:space="preserve">www.gaea21.or</w:t>
            </w:r>
          </w:hyperlink>
          <w:hyperlink r:id="rId3">
            <w:r w:rsidDel="00000000" w:rsidR="00000000" w:rsidRPr="00000000">
              <w:rPr>
                <w:rFonts w:ascii="Calibri" w:cs="Calibri" w:eastAsia="Calibri" w:hAnsi="Calibri"/>
                <w:color w:val="ffffff"/>
                <w:sz w:val="18"/>
                <w:szCs w:val="18"/>
                <w:rtl w:val="0"/>
              </w:rPr>
              <w:t xml:space="preserve">g</w:t>
            </w:r>
          </w:hyperlink>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ffffff"/>
        <w:sz w:val="18"/>
        <w:szCs w:val="1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i w:val="1"/>
        <w:color w:val="98984b"/>
        <w:sz w:val="22"/>
        <w:szCs w:val="22"/>
      </w:rPr>
    </w:pPr>
    <w:r w:rsidDel="00000000" w:rsidR="00000000" w:rsidRPr="00000000">
      <w:rPr>
        <w:rFonts w:ascii="Calibri" w:cs="Calibri" w:eastAsia="Calibri" w:hAnsi="Calibri"/>
        <w:b w:val="0"/>
        <w:i w:val="0"/>
        <w:smallCaps w:val="0"/>
        <w:strike w:val="0"/>
        <w:color w:val="1155cc"/>
        <w:sz w:val="22"/>
        <w:szCs w:val="22"/>
        <w:u w:val="none"/>
        <w:shd w:fill="auto" w:val="clear"/>
        <w:vertAlign w:val="baseline"/>
      </w:rPr>
      <w:drawing>
        <wp:inline distB="0" distT="0" distL="0" distR="0">
          <wp:extent cx="1770380" cy="591820"/>
          <wp:effectExtent b="0" l="0" r="0" t="0"/>
          <wp:docPr descr="https://lh5.googleusercontent.com/T564Hq5ydxJFb6NQa3I-9Q_KxH3__HZp2A_kbPt_1AQzGIQ-fruLDnoXhH51qE63w4ZBlXEEhjz7ql7jV9mqzqPZK7rKW-Dm1kWAwA1f97QlasTBiI2LbihXDcVl8SRuZZvb70CA" id="2" name="image1.png"/>
          <a:graphic>
            <a:graphicData uri="http://schemas.openxmlformats.org/drawingml/2006/picture">
              <pic:pic>
                <pic:nvPicPr>
                  <pic:cNvPr descr="https://lh5.googleusercontent.com/T564Hq5ydxJFb6NQa3I-9Q_KxH3__HZp2A_kbPt_1AQzGIQ-fruLDnoXhH51qE63w4ZBlXEEhjz7ql7jV9mqzqPZK7rKW-Dm1kWAwA1f97QlasTBiI2LbihXDcVl8SRuZZvb70CA" id="0" name="image1.png"/>
                  <pic:cNvPicPr preferRelativeResize="0"/>
                </pic:nvPicPr>
                <pic:blipFill>
                  <a:blip r:embed="rId1"/>
                  <a:srcRect b="0" l="0" r="0" t="0"/>
                  <a:stretch>
                    <a:fillRect/>
                  </a:stretch>
                </pic:blipFill>
                <pic:spPr>
                  <a:xfrm>
                    <a:off x="0" y="0"/>
                    <a:ext cx="1770380" cy="59182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000000"/>
      <w:sz w:val="48"/>
      <w:szCs w:val="48"/>
    </w:rPr>
  </w:style>
  <w:style w:type="paragraph" w:styleId="Heading2">
    <w:name w:val="heading 2"/>
    <w:basedOn w:val="Normal"/>
    <w:next w:val="Normal"/>
    <w:pPr>
      <w:spacing w:after="80" w:before="360" w:lineRule="auto"/>
    </w:pPr>
    <w:rPr>
      <w:b w:val="1"/>
      <w:color w:val="000000"/>
      <w:sz w:val="36"/>
      <w:szCs w:val="36"/>
    </w:rPr>
  </w:style>
  <w:style w:type="paragraph" w:styleId="Heading3">
    <w:name w:val="heading 3"/>
    <w:basedOn w:val="Normal"/>
    <w:next w:val="Normal"/>
    <w:pPr>
      <w:spacing w:after="80" w:before="280" w:lineRule="auto"/>
    </w:pPr>
    <w:rPr>
      <w:b w:val="1"/>
      <w:color w:val="000000"/>
      <w:sz w:val="28"/>
      <w:szCs w:val="28"/>
    </w:rPr>
  </w:style>
  <w:style w:type="paragraph" w:styleId="Heading4">
    <w:name w:val="heading 4"/>
    <w:basedOn w:val="Normal"/>
    <w:next w:val="Normal"/>
    <w:pPr>
      <w:spacing w:after="40" w:before="240" w:lineRule="auto"/>
    </w:pPr>
    <w:rPr>
      <w:b w:val="1"/>
      <w:color w:val="000000"/>
    </w:rPr>
  </w:style>
  <w:style w:type="paragraph" w:styleId="Heading5">
    <w:name w:val="heading 5"/>
    <w:basedOn w:val="Normal"/>
    <w:next w:val="Normal"/>
    <w:pPr>
      <w:spacing w:after="40" w:before="220" w:lineRule="auto"/>
    </w:pPr>
    <w:rPr>
      <w:b w:val="1"/>
      <w:color w:val="000000"/>
      <w:sz w:val="22"/>
      <w:szCs w:val="22"/>
    </w:rPr>
  </w:style>
  <w:style w:type="paragraph" w:styleId="Heading6">
    <w:name w:val="heading 6"/>
    <w:basedOn w:val="Normal"/>
    <w:next w:val="Normal"/>
    <w:pPr>
      <w:spacing w:after="40" w:before="200" w:lineRule="auto"/>
    </w:pPr>
    <w:rPr>
      <w:b w:val="1"/>
      <w:color w:val="000000"/>
      <w:sz w:val="20"/>
      <w:szCs w:val="20"/>
    </w:rPr>
  </w:style>
  <w:style w:type="paragraph" w:styleId="Title">
    <w:name w:val="Title"/>
    <w:basedOn w:val="Normal"/>
    <w:next w:val="Normal"/>
    <w:pP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000000"/>
      <w:sz w:val="48"/>
      <w:szCs w:val="48"/>
    </w:rPr>
  </w:style>
  <w:style w:type="paragraph" w:styleId="Heading2">
    <w:name w:val="heading 2"/>
    <w:basedOn w:val="Normal"/>
    <w:next w:val="Normal"/>
    <w:pPr>
      <w:spacing w:after="80" w:before="360" w:lineRule="auto"/>
    </w:pPr>
    <w:rPr>
      <w:b w:val="1"/>
      <w:color w:val="000000"/>
      <w:sz w:val="36"/>
      <w:szCs w:val="36"/>
    </w:rPr>
  </w:style>
  <w:style w:type="paragraph" w:styleId="Heading3">
    <w:name w:val="heading 3"/>
    <w:basedOn w:val="Normal"/>
    <w:next w:val="Normal"/>
    <w:pPr>
      <w:spacing w:after="80" w:before="280" w:lineRule="auto"/>
    </w:pPr>
    <w:rPr>
      <w:b w:val="1"/>
      <w:color w:val="000000"/>
      <w:sz w:val="28"/>
      <w:szCs w:val="28"/>
    </w:rPr>
  </w:style>
  <w:style w:type="paragraph" w:styleId="Heading4">
    <w:name w:val="heading 4"/>
    <w:basedOn w:val="Normal"/>
    <w:next w:val="Normal"/>
    <w:pPr>
      <w:spacing w:after="40" w:before="240" w:lineRule="auto"/>
    </w:pPr>
    <w:rPr>
      <w:b w:val="1"/>
      <w:color w:val="000000"/>
    </w:rPr>
  </w:style>
  <w:style w:type="paragraph" w:styleId="Heading5">
    <w:name w:val="heading 5"/>
    <w:basedOn w:val="Normal"/>
    <w:next w:val="Normal"/>
    <w:pPr>
      <w:spacing w:after="40" w:before="220" w:lineRule="auto"/>
    </w:pPr>
    <w:rPr>
      <w:b w:val="1"/>
      <w:color w:val="000000"/>
      <w:sz w:val="22"/>
      <w:szCs w:val="22"/>
    </w:rPr>
  </w:style>
  <w:style w:type="paragraph" w:styleId="Heading6">
    <w:name w:val="heading 6"/>
    <w:basedOn w:val="Normal"/>
    <w:next w:val="Normal"/>
    <w:pPr>
      <w:spacing w:after="40" w:before="200" w:lineRule="auto"/>
    </w:pPr>
    <w:rPr>
      <w:b w:val="1"/>
      <w:color w:val="000000"/>
      <w:sz w:val="20"/>
      <w:szCs w:val="20"/>
    </w:rPr>
  </w:style>
  <w:style w:type="paragraph" w:styleId="Title">
    <w:name w:val="Title"/>
    <w:basedOn w:val="Normal"/>
    <w:next w:val="Normal"/>
    <w:pPr>
      <w:spacing w:after="120" w:before="480" w:lineRule="auto"/>
    </w:pPr>
    <w:rPr>
      <w:b w:val="1"/>
      <w:color w:val="000000"/>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gaea21.org" TargetMode="External"/><Relationship Id="rId8" Type="http://schemas.openxmlformats.org/officeDocument/2006/relationships/hyperlink" Target="http://www.gaea21.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hyperlink" Target="http://www.gaea21.org" TargetMode="External"/><Relationship Id="rId3" Type="http://schemas.openxmlformats.org/officeDocument/2006/relationships/hyperlink" Target="http://www.gaea2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6ZdbJ+xLZ5dTp4ChTvKIwu09g==">AMUW2mXo2iu8vhaA70HwP+NN8IEQAaftXlpoqP5Bk0rX3+DcUGMNckxYGFEyvY2L5Th5JtkWv4BmU18RbTwXYC0k/Xa2a01O5STFiP4L6Xc4iUP20TKaICmvVonDa4IA/Dm3nJbkFhyE3UYr0rnzFZea1bNRrMFcwpOWw5LfWSdIlf9prCyIdfBiGLMjqfzQv2ZQ8aLIEQkwakig7N1pmzOaCHA4KvXBtfB3tfGpVJg1aJGuM24liQ2YgdPpbwkr9ZKsNWS0pn8cfLiQfB+FnbAeMbI7SR0cZJLoIg9vAPmJhg1rHs3J9pxRQWQeuRkVQpKFNvY2hhHiKs7d7KcZs4ar8yC8yqhD2N8qBVH/17BnS9zjQEtHDePk49gxZKd8XfKxRMYE0tUUH0S49iMQ+7oqnwPbC7v3NzrnhOvJXv6SpfLi9hxRv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